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D2C8" w14:textId="77777777" w:rsidR="00000000" w:rsidRDefault="00000000">
      <w:pPr>
        <w:pStyle w:val="Title"/>
        <w:sectPr w:rsidR="00000000">
          <w:headerReference w:type="default" r:id="rId7"/>
          <w:headerReference w:type="first" r:id="rId8"/>
          <w:type w:val="continuous"/>
          <w:pgSz w:w="12240" w:h="15840" w:code="1"/>
          <w:pgMar w:top="1800" w:right="1440" w:bottom="1440" w:left="1440" w:header="360" w:footer="360" w:gutter="0"/>
          <w:cols w:space="360"/>
          <w:titlePg/>
        </w:sectPr>
      </w:pPr>
      <w:r>
        <w:t>Resource Recovery Parks:</w:t>
      </w:r>
      <w:r>
        <w:br/>
      </w:r>
      <w:r>
        <w:rPr>
          <w:i/>
          <w:iCs/>
          <w:sz w:val="24"/>
        </w:rPr>
        <w:t>A Model for Local Government Recycling and Waste Reduction</w:t>
      </w:r>
    </w:p>
    <w:p w14:paraId="2A6BE846" w14:textId="77777777" w:rsidR="00000000" w:rsidRDefault="00000000">
      <w:pPr>
        <w:pStyle w:val="Heading1"/>
        <w:spacing w:before="0"/>
      </w:pPr>
      <w:r>
        <w:t>Overview</w:t>
      </w:r>
    </w:p>
    <w:p w14:paraId="08BA7FF4" w14:textId="77777777" w:rsidR="00000000" w:rsidRDefault="00000000">
      <w:pPr>
        <w:pStyle w:val="BodyText"/>
      </w:pPr>
      <w:r>
        <w:t>A resource recovery (RR) park is a new development in recycling. In its broadest sense, it is the co-location of reuse, recycling, compost processing, manufacturing, and retail businesses in a central facility. The public can bring all their wastes and recoverable materials to this facility at one time.</w:t>
      </w:r>
    </w:p>
    <w:p w14:paraId="75CB702E" w14:textId="77777777" w:rsidR="00000000" w:rsidRDefault="00000000">
      <w:pPr>
        <w:pStyle w:val="BodyText"/>
      </w:pPr>
      <w:r>
        <w:t>An RR park also goes by integrated resource recovery facility, serial materials recovery facility (MRF), recycling estate, industrial recycling park, recycling-based industrial park, or discard mall. A number of market forces are encouraging this type of development.</w:t>
      </w:r>
    </w:p>
    <w:p w14:paraId="189B8BED" w14:textId="77777777" w:rsidR="00000000" w:rsidRDefault="00000000">
      <w:pPr>
        <w:pStyle w:val="Heading1"/>
      </w:pPr>
      <w:r>
        <w:t>Program Characteristics</w:t>
      </w:r>
    </w:p>
    <w:p w14:paraId="2253B647" w14:textId="77777777" w:rsidR="00000000" w:rsidRDefault="00000000">
      <w:pPr>
        <w:pStyle w:val="BodyText"/>
      </w:pPr>
      <w:r>
        <w:t>An RR park enables the public to:</w:t>
      </w:r>
    </w:p>
    <w:p w14:paraId="00847798" w14:textId="77777777" w:rsidR="00000000" w:rsidRDefault="00000000">
      <w:pPr>
        <w:pStyle w:val="BulletText"/>
      </w:pPr>
      <w:r>
        <w:t>Reduce the amount of wastes requiring payment for disposal.</w:t>
      </w:r>
    </w:p>
    <w:p w14:paraId="74ECC5BA" w14:textId="77777777" w:rsidR="00000000" w:rsidRDefault="00000000">
      <w:pPr>
        <w:pStyle w:val="BulletText"/>
      </w:pPr>
      <w:r>
        <w:t>Recover some value from the sale of valuable materials in a “one-stop service center” for reuse, recycling, and composting.</w:t>
      </w:r>
    </w:p>
    <w:p w14:paraId="3A6A63A9" w14:textId="77777777" w:rsidR="00000000" w:rsidRDefault="00000000">
      <w:pPr>
        <w:pStyle w:val="BulletText"/>
      </w:pPr>
      <w:r>
        <w:t>Buy other items of value from reuse, recycling, compost, and recycled-content retail stores.</w:t>
      </w:r>
    </w:p>
    <w:p w14:paraId="1E7E2FC6" w14:textId="77777777" w:rsidR="00000000" w:rsidRDefault="00000000">
      <w:pPr>
        <w:pStyle w:val="BodyText"/>
      </w:pPr>
      <w:r>
        <w:t>The public will enjoy coming to these facilities not only to dispose of their materials, but also to find unique items of value to them at bargain prices. For some families, RR parks can turn the chore of waste disposal into a fun family outing, with something for everyone in the family.</w:t>
      </w:r>
    </w:p>
    <w:p w14:paraId="69FB8F8D" w14:textId="77777777" w:rsidR="00000000" w:rsidRDefault="00000000">
      <w:pPr>
        <w:pStyle w:val="BodyText"/>
      </w:pPr>
      <w:r>
        <w:t>An RR park enables the participating businesses to share:</w:t>
      </w:r>
    </w:p>
    <w:p w14:paraId="72BEFF24" w14:textId="77777777" w:rsidR="00000000" w:rsidRDefault="00000000">
      <w:pPr>
        <w:pStyle w:val="BulletText"/>
      </w:pPr>
      <w:r>
        <w:t>Space (including warehousing).</w:t>
      </w:r>
    </w:p>
    <w:p w14:paraId="244F1000" w14:textId="77777777" w:rsidR="00000000" w:rsidRDefault="00000000">
      <w:pPr>
        <w:pStyle w:val="BulletText"/>
      </w:pPr>
      <w:r>
        <w:t>Operating equipment (e.g., forklifts, balers, shredders, wheel loaders and trucks).</w:t>
      </w:r>
    </w:p>
    <w:p w14:paraId="082596A9" w14:textId="77777777" w:rsidR="00000000" w:rsidRDefault="00000000">
      <w:pPr>
        <w:pStyle w:val="BulletText"/>
      </w:pPr>
      <w:r>
        <w:t>Preventive maintenance and repair services.</w:t>
      </w:r>
    </w:p>
    <w:p w14:paraId="25118FE3" w14:textId="77777777" w:rsidR="00000000" w:rsidRDefault="00000000">
      <w:pPr>
        <w:pStyle w:val="BulletText"/>
      </w:pPr>
      <w:r>
        <w:t>Pollution control equipment and services.</w:t>
      </w:r>
    </w:p>
    <w:p w14:paraId="2DC9BDAD" w14:textId="77777777" w:rsidR="00000000" w:rsidRDefault="00000000">
      <w:pPr>
        <w:pStyle w:val="BulletText"/>
      </w:pPr>
      <w:r>
        <w:t>Facilities (e.g., maintenance yard, truck washing area, conference rooms, kitchen/break room, showers, and bathrooms).</w:t>
      </w:r>
    </w:p>
    <w:p w14:paraId="2F7E50E4" w14:textId="77777777" w:rsidR="00000000" w:rsidRDefault="00000000">
      <w:pPr>
        <w:pStyle w:val="BulletText"/>
      </w:pPr>
      <w:r>
        <w:t>Management and technical expertise.</w:t>
      </w:r>
    </w:p>
    <w:p w14:paraId="1BF219C4" w14:textId="77777777" w:rsidR="00000000" w:rsidRDefault="00000000">
      <w:pPr>
        <w:pStyle w:val="BulletText"/>
      </w:pPr>
      <w:r>
        <w:t>Accounting, legal, and insurance services.</w:t>
      </w:r>
    </w:p>
    <w:p w14:paraId="31D32D00" w14:textId="77777777" w:rsidR="00000000" w:rsidRDefault="00000000">
      <w:pPr>
        <w:pStyle w:val="BulletText"/>
      </w:pPr>
      <w:r>
        <w:t>Promotions and advertising costs.</w:t>
      </w:r>
    </w:p>
    <w:p w14:paraId="0D7226B4" w14:textId="77777777" w:rsidR="00000000" w:rsidRDefault="00000000">
      <w:pPr>
        <w:pStyle w:val="BulletText"/>
      </w:pPr>
      <w:r>
        <w:t>Government affairs and permitting services; administrative and clerical support services.</w:t>
      </w:r>
    </w:p>
    <w:p w14:paraId="6F4388BA" w14:textId="77777777" w:rsidR="00000000" w:rsidRDefault="00000000">
      <w:pPr>
        <w:pStyle w:val="BulletText"/>
      </w:pPr>
      <w:r>
        <w:t>Communications equipment and services (e.g., copiers, computers, internet access, Web sites, fax, radios, and phones).</w:t>
      </w:r>
    </w:p>
    <w:p w14:paraId="0CE13066" w14:textId="77777777" w:rsidR="00000000" w:rsidRDefault="00000000">
      <w:pPr>
        <w:pStyle w:val="BulletText"/>
      </w:pPr>
      <w:r>
        <w:t>Staff recruitment and job training services.</w:t>
      </w:r>
    </w:p>
    <w:p w14:paraId="360A7107" w14:textId="77777777" w:rsidR="00000000" w:rsidRDefault="00000000">
      <w:pPr>
        <w:pStyle w:val="BulletText"/>
      </w:pPr>
      <w:r>
        <w:t>Restaurant/snack bar for park businesses and customers.</w:t>
      </w:r>
    </w:p>
    <w:p w14:paraId="499EE751" w14:textId="77777777" w:rsidR="00000000" w:rsidRDefault="00000000">
      <w:pPr>
        <w:pStyle w:val="BulletText"/>
      </w:pPr>
      <w:r>
        <w:t>Educational facilities and services (e.g., a nature trail, demonstrations of the use of different compost products in gardens and landscaping, on-site composting bins for residents and businesses, demonstrations of recycled building products in use and/or an environmental education display/museum.</w:t>
      </w:r>
    </w:p>
    <w:p w14:paraId="701CFD18" w14:textId="77777777" w:rsidR="00000000" w:rsidRDefault="00000000">
      <w:pPr>
        <w:pStyle w:val="BodyText"/>
      </w:pPr>
      <w:r>
        <w:t>An RR park also helps participating businesses by matching wastes from one company to the resource needs of another. An RR park is an innovative, supportive, and fertile ground for new ideas on how to expand reuse, recycling, and composting in an area. RR parks could even simplify the expansion or start of new recycling services by developing and getting approval in advance for a master environmental impact report to cover most anticipated park activities.</w:t>
      </w:r>
    </w:p>
    <w:p w14:paraId="2326666D" w14:textId="77777777" w:rsidR="00000000" w:rsidRDefault="00000000">
      <w:pPr>
        <w:pStyle w:val="BodyText"/>
      </w:pPr>
      <w:r>
        <w:t>Potential companies that might locate in an RR park include:</w:t>
      </w:r>
    </w:p>
    <w:p w14:paraId="13341BDF" w14:textId="77777777" w:rsidR="00000000" w:rsidRDefault="00000000">
      <w:pPr>
        <w:pStyle w:val="BulletText"/>
      </w:pPr>
      <w:r>
        <w:t xml:space="preserve">Reuse: drop-off or buyback center, salvage, repair, rehabilitation, refinish, rent, restoration, food banks, and retail sales for reuse items. These could include white goods (washers, dryers, refrigerators), </w:t>
      </w:r>
      <w:r>
        <w:lastRenderedPageBreak/>
        <w:t>brown goods (e.g., computers, TVs, electronics, and other small appliances), furniture, clothing, and latex paint. Companies might include: an electronics repair shop, a household appliance store, a reused furniture store, vintage clothing and consignment shop, a household item thrift shop, a stove and porcelain refinisher, an antique restoration firm, and an eco-artist.</w:t>
      </w:r>
    </w:p>
    <w:p w14:paraId="511DFD4C" w14:textId="77777777" w:rsidR="00000000" w:rsidRDefault="00000000">
      <w:pPr>
        <w:pStyle w:val="BulletText"/>
      </w:pPr>
      <w:r>
        <w:t>Recycling: drop-off, buyback, curbside collection and manufacturing facilities for recyclable materials including paper, containers (glass, plastic and metal), textiles, scrap metals, plastics and tires.</w:t>
      </w:r>
    </w:p>
    <w:p w14:paraId="068B2ACC" w14:textId="77777777" w:rsidR="00000000" w:rsidRDefault="00000000">
      <w:pPr>
        <w:pStyle w:val="BulletText"/>
      </w:pPr>
      <w:r>
        <w:t>Organics: collection and processing services for yard trimmings, food scraps, food-contaminated paper, wood, soils, and other putrescibles.</w:t>
      </w:r>
    </w:p>
    <w:p w14:paraId="23F593F3" w14:textId="77777777" w:rsidR="00000000" w:rsidRDefault="00000000">
      <w:pPr>
        <w:pStyle w:val="BulletText"/>
      </w:pPr>
      <w:r>
        <w:t>C&amp;D: businesses collecting and processing construction and demolition (C&amp;D) debris, deconstruction or dismantling, used building materials (e.g., scrap lumber, doors, windows, plumbing fixtures, and ceramics), concrete and asphalt recycling, and processors of roofing materials, bricks, and mixed demolition debris.</w:t>
      </w:r>
    </w:p>
    <w:p w14:paraId="1F39A1D4" w14:textId="77777777" w:rsidR="00000000" w:rsidRDefault="00000000">
      <w:pPr>
        <w:pStyle w:val="BodyText"/>
      </w:pPr>
      <w:r>
        <w:t>An RR park puts reuse first, recycling second, composting third, and wasting last. Each business will need to provide a small waste handling and transfer capacity. The more effectively residents are trained to use the new system, the less waste will be left to handle at the end of the process.</w:t>
      </w:r>
    </w:p>
    <w:p w14:paraId="0101FF9C" w14:textId="77777777" w:rsidR="00000000" w:rsidRDefault="00000000">
      <w:pPr>
        <w:pStyle w:val="BodyText"/>
      </w:pPr>
      <w:r>
        <w:t>Within an RR park, the market should determine the details of where, how, and to whom materials move. Source separation principles should govern, along with convenience, cleanliness, and satisfying the customer. The greater the amount of materials separated into discrete subflows, the greater the income. As the RR park succeeds in its mission to attract and nurture businesses that add value to discarded materials, the number and variety of such businesses can and will grow.</w:t>
      </w:r>
    </w:p>
    <w:p w14:paraId="44B7C2FC" w14:textId="77777777" w:rsidR="00000000" w:rsidRDefault="00000000">
      <w:pPr>
        <w:pStyle w:val="BodyText"/>
      </w:pPr>
      <w:r>
        <w:t xml:space="preserve">RR parks should allow room for many small operators. Clustering small with large operators is a well-proven commercial principle, as any visit to a mall will attest. There, specialized vendors of all sizes meet to offer wares and services to crowds of customers. If run as isolated businesses, most of these enterprises would fail. But within the </w:t>
      </w:r>
      <w:r>
        <w:t>managed competition and cooperation of the mall environment, they thrive.</w:t>
      </w:r>
    </w:p>
    <w:p w14:paraId="58C02A0B" w14:textId="77777777" w:rsidR="00000000" w:rsidRDefault="00000000">
      <w:pPr>
        <w:pStyle w:val="BodyText"/>
      </w:pPr>
      <w:r>
        <w:t>The same forces drive RR parks. Companies will become suppliers to one another to:</w:t>
      </w:r>
    </w:p>
    <w:p w14:paraId="5F19CDE6" w14:textId="77777777" w:rsidR="00000000" w:rsidRDefault="00000000">
      <w:pPr>
        <w:pStyle w:val="BulletText"/>
      </w:pPr>
      <w:r>
        <w:t>Decrease their disposal costs.</w:t>
      </w:r>
    </w:p>
    <w:p w14:paraId="7BFCCB97" w14:textId="77777777" w:rsidR="00000000" w:rsidRDefault="00000000">
      <w:pPr>
        <w:pStyle w:val="BulletText"/>
      </w:pPr>
      <w:r>
        <w:t>Increase their cash flow.</w:t>
      </w:r>
    </w:p>
    <w:p w14:paraId="2C1B544C" w14:textId="77777777" w:rsidR="00000000" w:rsidRDefault="00000000">
      <w:pPr>
        <w:pStyle w:val="BulletText"/>
      </w:pPr>
      <w:r>
        <w:t>Build friendly networks in anticipation of beneficial trades to come.</w:t>
      </w:r>
    </w:p>
    <w:p w14:paraId="2F7DA594" w14:textId="77777777" w:rsidR="00000000" w:rsidRDefault="00000000">
      <w:pPr>
        <w:pStyle w:val="BodyText"/>
      </w:pPr>
      <w:r>
        <w:t>Businesses will exchanges information and learn from one another the latest and most advantageous techniques. The combined operation will attract more trade, creating new niches for support businesses. The emerging business ecosystem will feed on resource flows from the larger economy, adjust to surges and droughts, and foster waste prevention.</w:t>
      </w:r>
    </w:p>
    <w:p w14:paraId="0245DA90" w14:textId="77777777" w:rsidR="00000000" w:rsidRDefault="00000000">
      <w:pPr>
        <w:pStyle w:val="BodyText"/>
      </w:pPr>
      <w:r>
        <w:t>In addition, reuse and recycling businesses in the RR park could share:</w:t>
      </w:r>
    </w:p>
    <w:p w14:paraId="4CDE77D7" w14:textId="77777777" w:rsidR="00000000" w:rsidRDefault="00000000">
      <w:pPr>
        <w:pStyle w:val="BulletText"/>
      </w:pPr>
      <w:r>
        <w:t>Knowledge and technology (networking among park tenants on how to address technical problems).</w:t>
      </w:r>
    </w:p>
    <w:p w14:paraId="0DA84F6C" w14:textId="77777777" w:rsidR="00000000" w:rsidRDefault="00000000">
      <w:pPr>
        <w:pStyle w:val="BulletText"/>
      </w:pPr>
      <w:r>
        <w:t>Showrooms for retail and consignment sales and temporary staffing support (including training area for new staff and for tours).</w:t>
      </w:r>
    </w:p>
    <w:p w14:paraId="0CFBA453" w14:textId="77777777" w:rsidR="00000000" w:rsidRDefault="00000000">
      <w:pPr>
        <w:pStyle w:val="Heading2"/>
      </w:pPr>
      <w:r>
        <w:t>RR Park Amenities</w:t>
      </w:r>
    </w:p>
    <w:p w14:paraId="2CDBBF92" w14:textId="77777777" w:rsidR="00000000" w:rsidRDefault="00000000">
      <w:pPr>
        <w:pStyle w:val="BodyText"/>
      </w:pPr>
      <w:r>
        <w:t>In order to make an RR park a destination point for residents and businesses, parks could include a variety of amenities. There could be many reasons why residents and businesses would want to come to the park. In planning an RR park, space could be set aside for some of these activities, even if they are not able to be built as part of the initial stages of the park’s development.</w:t>
      </w:r>
    </w:p>
    <w:p w14:paraId="05511F75" w14:textId="77777777" w:rsidR="00000000" w:rsidRDefault="00000000">
      <w:pPr>
        <w:pStyle w:val="BodyText"/>
      </w:pPr>
      <w:r>
        <w:t>Some of these improvements could be built as tenants locate in the park. Other of these improvements could be built as grants and other funding become available over time. Funding for these amenities could come from solid waste or other funding sources. For example, a parks and recreation department could provide funding for a playground or small amphitheater. Including other government departments in the planning process would encourage them to keep the RR park in mind for funding and new programs.</w:t>
      </w:r>
    </w:p>
    <w:p w14:paraId="14306FB3" w14:textId="77777777" w:rsidR="00000000" w:rsidRDefault="00000000">
      <w:pPr>
        <w:pStyle w:val="BodyText"/>
      </w:pPr>
      <w:r>
        <w:t>Park amenities could include:</w:t>
      </w:r>
    </w:p>
    <w:p w14:paraId="2139CF3D" w14:textId="77777777" w:rsidR="00000000" w:rsidRDefault="00000000">
      <w:pPr>
        <w:pStyle w:val="BodyText"/>
      </w:pPr>
      <w:r>
        <w:rPr>
          <w:b/>
          <w:bCs/>
        </w:rPr>
        <w:lastRenderedPageBreak/>
        <w:t>Nature Walk</w:t>
      </w:r>
      <w:r>
        <w:t>. Create pathways, interpretive and warning signs, and viewing platforms near points of interest built from reused/recycled/compost-content products.</w:t>
      </w:r>
    </w:p>
    <w:p w14:paraId="41D02D41" w14:textId="77777777" w:rsidR="00000000" w:rsidRDefault="00000000">
      <w:pPr>
        <w:pStyle w:val="BodyText"/>
      </w:pPr>
      <w:r>
        <w:rPr>
          <w:b/>
          <w:bCs/>
        </w:rPr>
        <w:t>Children’s Playground</w:t>
      </w:r>
      <w:r>
        <w:t>. Include playground equipment, surface finish, and fencing built from reused/recycled/compost-content products.</w:t>
      </w:r>
    </w:p>
    <w:p w14:paraId="6A64E523" w14:textId="77777777" w:rsidR="00000000" w:rsidRDefault="00000000">
      <w:pPr>
        <w:pStyle w:val="BodyText"/>
      </w:pPr>
      <w:r>
        <w:rPr>
          <w:b/>
          <w:bCs/>
        </w:rPr>
        <w:t>Amphitheater</w:t>
      </w:r>
      <w:r>
        <w:t>. Build a small outdoor amphitheater for summer arts and nature programs (like Recycletown in Sonoma County).</w:t>
      </w:r>
    </w:p>
    <w:p w14:paraId="3BB75757" w14:textId="77777777" w:rsidR="00000000" w:rsidRDefault="00000000">
      <w:pPr>
        <w:pStyle w:val="BodyText"/>
      </w:pPr>
      <w:r>
        <w:rPr>
          <w:b/>
          <w:bCs/>
        </w:rPr>
        <w:t>Demonstration Sites</w:t>
      </w:r>
      <w:r>
        <w:t>. Allocate space for production and use of compost, native plants, and integrated pest management to conserve water and decrease wasting. This could be located on either side of a pathway leading to the main entrance of an RR park.</w:t>
      </w:r>
    </w:p>
    <w:p w14:paraId="039E8677" w14:textId="77777777" w:rsidR="00000000" w:rsidRDefault="00000000">
      <w:pPr>
        <w:pStyle w:val="BodyText"/>
      </w:pPr>
      <w:r>
        <w:rPr>
          <w:b/>
          <w:bCs/>
        </w:rPr>
        <w:t>Artist in Residence and Displays</w:t>
      </w:r>
      <w:r>
        <w:t>. Provide workspace for artist(s) in residence who could assist all park businesses in creative design. Art from scrap and recycled products could be prominently displayed throughout the park.</w:t>
      </w:r>
    </w:p>
    <w:p w14:paraId="73993F3F" w14:textId="77777777" w:rsidR="00000000" w:rsidRDefault="00000000">
      <w:pPr>
        <w:pStyle w:val="BodyText"/>
      </w:pPr>
      <w:r>
        <w:rPr>
          <w:b/>
          <w:bCs/>
        </w:rPr>
        <w:t>Classroom</w:t>
      </w:r>
      <w:r>
        <w:t>. Provide classroom to host recycling and community programs, including master composter or master gardener training, commercial auditor training, recycled art classes, or nature interpretive courses.</w:t>
      </w:r>
    </w:p>
    <w:p w14:paraId="591C40AE" w14:textId="77777777" w:rsidR="00000000" w:rsidRDefault="00000000">
      <w:pPr>
        <w:pStyle w:val="BodyText"/>
      </w:pPr>
      <w:r>
        <w:rPr>
          <w:b/>
          <w:bCs/>
        </w:rPr>
        <w:t>Showroom</w:t>
      </w:r>
      <w:r>
        <w:t>. Develop room to showcase products manufactured and remanufactured at this site, and for other reuse/recycled-content manufacturers in the area. Products would be available for sale from the showroom and guides would be available to other resale/stores to purchase other merchandise. If there is an artist in residence program, the artist’s workplace could be part of the showroom to highlight how products are made. The showroom could also include temporary displays (e.g., children’s environmental theme projects).</w:t>
      </w:r>
    </w:p>
    <w:p w14:paraId="2BEA4986" w14:textId="77777777" w:rsidR="00000000" w:rsidRDefault="00000000">
      <w:pPr>
        <w:pStyle w:val="BodyText"/>
      </w:pPr>
      <w:r>
        <w:rPr>
          <w:b/>
          <w:bCs/>
        </w:rPr>
        <w:t>Environmental Education Display/Museum</w:t>
      </w:r>
      <w:r>
        <w:t>. Provide environmental displays and/or an environmental education museum to attract families to attend.</w:t>
      </w:r>
    </w:p>
    <w:p w14:paraId="56136C40" w14:textId="77777777" w:rsidR="00000000" w:rsidRDefault="00000000">
      <w:pPr>
        <w:pStyle w:val="BodyText"/>
      </w:pPr>
      <w:r>
        <w:rPr>
          <w:b/>
          <w:bCs/>
        </w:rPr>
        <w:t>Incubator</w:t>
      </w:r>
      <w:r>
        <w:t>. An incubator for new recycling businesses could provide a lower cost location for such businesses to grow and prosper. Different types of incubators could be developed, depending on local needs and resources, including:</w:t>
      </w:r>
    </w:p>
    <w:p w14:paraId="422CB388" w14:textId="77777777" w:rsidR="00000000" w:rsidRDefault="00000000">
      <w:pPr>
        <w:pStyle w:val="BulletText"/>
      </w:pPr>
      <w:r>
        <w:t>Graduating incubator—start-up businesses share resources among other start-ups. These services could include conference rooms, copiers and faxes, receptionists, bookkeeping, and business technical assistance (e.g., review of business and marketing plans). The goal of the incubator is to support businesses until they are strong enough to move to their own location.</w:t>
      </w:r>
    </w:p>
    <w:p w14:paraId="47F051E8" w14:textId="77777777" w:rsidR="00000000" w:rsidRDefault="00000000">
      <w:pPr>
        <w:pStyle w:val="BulletText"/>
      </w:pPr>
      <w:r>
        <w:t>Non-graduating incubator—the management organization supports the start-ups until they are strong enough financially to purchase the facility and become fully independent. In this model a single business could be the incubator, or several businesses could pool their resources to jointly own the facility. Successful businesses could stay in the park, with new businesses accommodated in locations adjacent to the initial incubator facility. Some of the shared services (e.g. restaurant, showroom) could be moved to adjacent buildings.</w:t>
      </w:r>
    </w:p>
    <w:p w14:paraId="69830187" w14:textId="77777777" w:rsidR="00000000" w:rsidRDefault="00000000">
      <w:pPr>
        <w:pStyle w:val="Heading2"/>
      </w:pPr>
      <w:r>
        <w:t>Public/Private Roles Developing RR Parks</w:t>
      </w:r>
    </w:p>
    <w:p w14:paraId="61DE867C" w14:textId="77777777" w:rsidR="00000000" w:rsidRDefault="00000000">
      <w:pPr>
        <w:pStyle w:val="BodyText"/>
      </w:pPr>
      <w:r>
        <w:t>The public and private sectors, and nonprofit organizations, can play different roles in developing RR parks. The public sector could:</w:t>
      </w:r>
    </w:p>
    <w:p w14:paraId="30DA3936" w14:textId="77777777" w:rsidR="00000000" w:rsidRDefault="00000000">
      <w:pPr>
        <w:pStyle w:val="BulletText"/>
      </w:pPr>
      <w:r>
        <w:t>Buy land and buildings for the park, obtain permits for the park, and lease space to tenants (with possible option to buy).</w:t>
      </w:r>
    </w:p>
    <w:p w14:paraId="3ED19140" w14:textId="77777777" w:rsidR="00000000" w:rsidRDefault="00000000">
      <w:pPr>
        <w:pStyle w:val="BulletText"/>
      </w:pPr>
      <w:r>
        <w:t>Adopt policy and encourage a private investor or nonprofit organization to develop the park.</w:t>
      </w:r>
    </w:p>
    <w:p w14:paraId="08BE2CC7" w14:textId="77777777" w:rsidR="00000000" w:rsidRDefault="00000000">
      <w:pPr>
        <w:pStyle w:val="BulletText"/>
      </w:pPr>
      <w:r>
        <w:t>Establish a new nonprofit organization to develop and manage the park, with the board of directors possibly including all businesses in the park.</w:t>
      </w:r>
    </w:p>
    <w:p w14:paraId="02C890AF" w14:textId="77777777" w:rsidR="00000000" w:rsidRDefault="00000000">
      <w:pPr>
        <w:pStyle w:val="BulletText"/>
      </w:pPr>
      <w:r>
        <w:t>Establish a cooperative to develop and manage the park.</w:t>
      </w:r>
    </w:p>
    <w:p w14:paraId="63633A80" w14:textId="77777777" w:rsidR="00000000" w:rsidRDefault="00000000">
      <w:pPr>
        <w:pStyle w:val="BulletText"/>
      </w:pPr>
      <w:r>
        <w:t>Pursue a combination of the above as a public/private partnership.</w:t>
      </w:r>
    </w:p>
    <w:p w14:paraId="70C831CB" w14:textId="77777777" w:rsidR="00000000" w:rsidRDefault="00000000">
      <w:pPr>
        <w:pStyle w:val="Heading2"/>
      </w:pPr>
      <w:r>
        <w:t>Public Roles in Support of RR Parks</w:t>
      </w:r>
    </w:p>
    <w:p w14:paraId="4B2B1BCD" w14:textId="77777777" w:rsidR="00000000" w:rsidRDefault="00000000">
      <w:pPr>
        <w:pStyle w:val="BodyText"/>
      </w:pPr>
      <w:r>
        <w:t>Public agencies can play an active role in the development of an RR park. They could:</w:t>
      </w:r>
    </w:p>
    <w:p w14:paraId="4FD66668" w14:textId="77777777" w:rsidR="00000000" w:rsidRDefault="00000000">
      <w:pPr>
        <w:pStyle w:val="BulletText"/>
      </w:pPr>
      <w:r>
        <w:t>Identify sites for an RR park.</w:t>
      </w:r>
    </w:p>
    <w:p w14:paraId="6F2382F0" w14:textId="77777777" w:rsidR="00000000" w:rsidRDefault="00000000">
      <w:pPr>
        <w:pStyle w:val="BulletText"/>
      </w:pPr>
      <w:r>
        <w:t xml:space="preserve">Contract with a business to run the RR park. Skills in marketing, management, real estate leases, recruitment of businesses, and </w:t>
      </w:r>
      <w:r>
        <w:lastRenderedPageBreak/>
        <w:t>community relations will all be essential for a successful project.</w:t>
      </w:r>
    </w:p>
    <w:p w14:paraId="40632540" w14:textId="77777777" w:rsidR="00000000" w:rsidRDefault="00000000">
      <w:pPr>
        <w:pStyle w:val="BulletText"/>
      </w:pPr>
      <w:r>
        <w:t>Participate in operations functions such as: scalehouse/gatekeeper, park manager, retail stores, and administration. Rental income and a portion of the sales tax revenue derived from the sale of items at the park could be used to cover the costs of park management.</w:t>
      </w:r>
    </w:p>
    <w:p w14:paraId="3698F007" w14:textId="77777777" w:rsidR="00000000" w:rsidRDefault="00000000">
      <w:pPr>
        <w:pStyle w:val="BulletText"/>
      </w:pPr>
      <w:r>
        <w:t>Provide grants and loans and other financing assistance.</w:t>
      </w:r>
    </w:p>
    <w:p w14:paraId="243D05FA" w14:textId="77777777" w:rsidR="00000000" w:rsidRDefault="00000000">
      <w:pPr>
        <w:pStyle w:val="BulletText"/>
      </w:pPr>
      <w:r>
        <w:t>Educate lending institutions and other financing sources to business development opportunities and the needs of recycling-related businesses.</w:t>
      </w:r>
    </w:p>
    <w:p w14:paraId="541AFB98" w14:textId="77777777" w:rsidR="00000000" w:rsidRDefault="00000000">
      <w:pPr>
        <w:pStyle w:val="BulletText"/>
      </w:pPr>
      <w:r>
        <w:t>Use Community Reinvestment Act policies to encourage investment in these projects.</w:t>
      </w:r>
    </w:p>
    <w:p w14:paraId="2A32E3C4" w14:textId="77777777" w:rsidR="00000000" w:rsidRDefault="00000000">
      <w:pPr>
        <w:pStyle w:val="BulletText"/>
      </w:pPr>
      <w:r>
        <w:t>Provide management services and act as a central point for business attraction.</w:t>
      </w:r>
    </w:p>
    <w:p w14:paraId="7D589F1B" w14:textId="77777777" w:rsidR="00000000" w:rsidRDefault="00000000">
      <w:pPr>
        <w:pStyle w:val="BulletText"/>
      </w:pPr>
      <w:r>
        <w:t>Assist in marketing for the park.</w:t>
      </w:r>
    </w:p>
    <w:p w14:paraId="4BDCC4E5" w14:textId="77777777" w:rsidR="00000000" w:rsidRDefault="00000000">
      <w:pPr>
        <w:pStyle w:val="BulletText"/>
      </w:pPr>
      <w:r>
        <w:t>Provide public lands (e.g., former military bases and brownfields).</w:t>
      </w:r>
    </w:p>
    <w:p w14:paraId="6F7A6938" w14:textId="77777777" w:rsidR="00000000" w:rsidRDefault="00000000">
      <w:pPr>
        <w:pStyle w:val="BulletText"/>
      </w:pPr>
      <w:r>
        <w:t>Provide initial rent supports.</w:t>
      </w:r>
    </w:p>
    <w:p w14:paraId="462375FD" w14:textId="77777777" w:rsidR="00000000" w:rsidRDefault="00000000">
      <w:pPr>
        <w:pStyle w:val="BulletText"/>
      </w:pPr>
      <w:r>
        <w:t>Provide technical assistance in the form of business and marketing plan review.</w:t>
      </w:r>
    </w:p>
    <w:p w14:paraId="5972536F" w14:textId="77777777" w:rsidR="00000000" w:rsidRDefault="00000000">
      <w:pPr>
        <w:pStyle w:val="BulletText"/>
      </w:pPr>
      <w:r>
        <w:t>Provide bookkeeping and tax advice (possibly through a contract with a CPA or small business consultant).</w:t>
      </w:r>
    </w:p>
    <w:p w14:paraId="11F7B214" w14:textId="77777777" w:rsidR="00000000" w:rsidRDefault="00000000">
      <w:pPr>
        <w:pStyle w:val="BulletText"/>
      </w:pPr>
      <w:r>
        <w:t>Subsidize the cost of collection and disposal of garbage illegally dumped at the gates of the park after regular business hours.</w:t>
      </w:r>
    </w:p>
    <w:p w14:paraId="66775A31" w14:textId="77777777" w:rsidR="00000000" w:rsidRDefault="00000000">
      <w:pPr>
        <w:pStyle w:val="BulletText"/>
      </w:pPr>
      <w:r>
        <w:t>Organize promotional events and fairs at the park to introduce the park to the community.</w:t>
      </w:r>
    </w:p>
    <w:p w14:paraId="0BCBFB19" w14:textId="77777777" w:rsidR="00000000" w:rsidRDefault="00000000">
      <w:pPr>
        <w:pStyle w:val="BulletText"/>
      </w:pPr>
      <w:r>
        <w:t>Coordinate fast-track permitting processes.</w:t>
      </w:r>
    </w:p>
    <w:p w14:paraId="2B6C93C6" w14:textId="77777777" w:rsidR="00000000" w:rsidRDefault="00000000">
      <w:pPr>
        <w:pStyle w:val="BulletText"/>
      </w:pPr>
      <w:r>
        <w:t>Prepare a master development plan for the entire project.</w:t>
      </w:r>
    </w:p>
    <w:p w14:paraId="7F6DD46A" w14:textId="77777777" w:rsidR="00000000" w:rsidRDefault="00000000">
      <w:pPr>
        <w:pStyle w:val="BulletText"/>
      </w:pPr>
      <w:r>
        <w:t>Prepare a complete environmental assessment of the entire project pursuant to the California Environmental Quality Act (CEQA).</w:t>
      </w:r>
    </w:p>
    <w:p w14:paraId="337ADD45" w14:textId="77777777" w:rsidR="00000000" w:rsidRDefault="00000000">
      <w:pPr>
        <w:pStyle w:val="BulletText"/>
      </w:pPr>
      <w:r>
        <w:t>Hire a permit coordinator to assist developers through the development review process.</w:t>
      </w:r>
    </w:p>
    <w:p w14:paraId="0B87762A" w14:textId="77777777" w:rsidR="00000000" w:rsidRDefault="00000000">
      <w:pPr>
        <w:pStyle w:val="BulletText"/>
      </w:pPr>
      <w:r>
        <w:t>Provide fast-track plan checking and permit processing through engineering departments.</w:t>
      </w:r>
    </w:p>
    <w:p w14:paraId="66CCD16B" w14:textId="77777777" w:rsidR="00000000" w:rsidRDefault="00000000">
      <w:pPr>
        <w:pStyle w:val="BulletText"/>
      </w:pPr>
      <w:r>
        <w:t>Waiving permitting and development fees.</w:t>
      </w:r>
    </w:p>
    <w:p w14:paraId="5A8ADD7F" w14:textId="77777777" w:rsidR="00000000" w:rsidRDefault="00000000">
      <w:pPr>
        <w:pStyle w:val="BulletText"/>
      </w:pPr>
      <w:r>
        <w:t>Assist in obtaining long-term commitments of feedstocks.</w:t>
      </w:r>
    </w:p>
    <w:p w14:paraId="1C6032FF" w14:textId="77777777" w:rsidR="00000000" w:rsidRDefault="00000000">
      <w:pPr>
        <w:pStyle w:val="Heading2"/>
      </w:pPr>
      <w:r>
        <w:t>Options for Developing RR Parks</w:t>
      </w:r>
    </w:p>
    <w:p w14:paraId="31911CA8" w14:textId="77777777" w:rsidR="00000000" w:rsidRDefault="00000000">
      <w:pPr>
        <w:pStyle w:val="BodyText"/>
      </w:pPr>
      <w:r>
        <w:t>RR parks are developing in California in the following ways:</w:t>
      </w:r>
    </w:p>
    <w:p w14:paraId="27051F77" w14:textId="77777777" w:rsidR="00000000" w:rsidRDefault="00000000">
      <w:pPr>
        <w:pStyle w:val="BulletText"/>
      </w:pPr>
      <w:r>
        <w:t>Master planning and zoning available land for an RR park as part of a comprehensive economic development strategy (e.g., Cabazon Resource Recovery Park, see page 10).</w:t>
      </w:r>
    </w:p>
    <w:p w14:paraId="0A94E82F" w14:textId="77777777" w:rsidR="00000000" w:rsidRDefault="00000000">
      <w:pPr>
        <w:pStyle w:val="BulletText"/>
      </w:pPr>
      <w:r>
        <w:t>Siting of multiple reuse, recycling, and composting businesses around a landfill or transfer station (e.g., Monterey Regional Environmental Park and Davis Street Transfer Station in San Leandro).</w:t>
      </w:r>
    </w:p>
    <w:p w14:paraId="0D9BFF49" w14:textId="77777777" w:rsidR="00000000" w:rsidRDefault="00000000">
      <w:pPr>
        <w:pStyle w:val="BulletText"/>
      </w:pPr>
      <w:r>
        <w:t>Renovating abandoned buildings (e.g., Urban Ore in Berkeley and proposed projects for Del Norte County).</w:t>
      </w:r>
    </w:p>
    <w:p w14:paraId="349D4D71" w14:textId="77777777" w:rsidR="00000000" w:rsidRDefault="00000000">
      <w:pPr>
        <w:pStyle w:val="BulletText"/>
      </w:pPr>
      <w:r>
        <w:t>Co-promoting of nearby reuse, recycling, and composting businesses (e.g., Berkeley “serial MRF”).</w:t>
      </w:r>
    </w:p>
    <w:p w14:paraId="11B0AB31" w14:textId="77777777" w:rsidR="00000000" w:rsidRDefault="00000000">
      <w:pPr>
        <w:pStyle w:val="BodyText"/>
      </w:pPr>
      <w:r>
        <w:t>In addition, two other scenarios are possible:</w:t>
      </w:r>
    </w:p>
    <w:p w14:paraId="41A420B0" w14:textId="77777777" w:rsidR="00000000" w:rsidRDefault="00000000">
      <w:pPr>
        <w:pStyle w:val="BulletText"/>
      </w:pPr>
      <w:r>
        <w:t>Rebuilding of “brownfield” sites.</w:t>
      </w:r>
    </w:p>
    <w:p w14:paraId="5086C805" w14:textId="77777777" w:rsidR="00000000" w:rsidRDefault="00000000">
      <w:pPr>
        <w:pStyle w:val="BulletText"/>
      </w:pPr>
      <w:r>
        <w:t>Zoning of areas or districts within a community specifically for these types of businesses.</w:t>
      </w:r>
    </w:p>
    <w:p w14:paraId="5DB4379D" w14:textId="77777777" w:rsidR="00000000" w:rsidRDefault="00000000">
      <w:pPr>
        <w:pStyle w:val="BulletText"/>
      </w:pPr>
      <w:r>
        <w:t>Development as part of “eco-industrial parks” in response to general communitywide efforts to advance “sustainable development.”</w:t>
      </w:r>
    </w:p>
    <w:p w14:paraId="65C66D08" w14:textId="77777777" w:rsidR="00000000" w:rsidRDefault="00000000">
      <w:pPr>
        <w:pStyle w:val="BodyText"/>
      </w:pPr>
      <w:r>
        <w:t>Several of these are highlighted below.</w:t>
      </w:r>
    </w:p>
    <w:p w14:paraId="0851B46F" w14:textId="77777777" w:rsidR="00000000" w:rsidRDefault="00000000">
      <w:pPr>
        <w:pStyle w:val="Heading1"/>
      </w:pPr>
      <w:r>
        <w:t>Case Study: Monterey RR Park</w:t>
      </w:r>
    </w:p>
    <w:p w14:paraId="4183C8B6" w14:textId="77777777" w:rsidR="00000000" w:rsidRDefault="00000000">
      <w:pPr>
        <w:pStyle w:val="BodyText"/>
      </w:pPr>
      <w:r>
        <w:t>The Monterey Regional Waste Management District (MRWMD) operates a regional environmental park in Marina, California. The environmental park includes one of the first resource recovery parks in California (although the MRWMD has not called it that). The district also operates a water pollution control facility that handles most of Monterey County’s biosolids (sewage sludge).</w:t>
      </w:r>
    </w:p>
    <w:p w14:paraId="77B7C568" w14:textId="77777777" w:rsidR="00000000" w:rsidRDefault="00000000">
      <w:pPr>
        <w:pStyle w:val="BodyText"/>
      </w:pPr>
      <w:r>
        <w:lastRenderedPageBreak/>
        <w:t>Geographically, the MRWMD extends from Moss Landing in the north to Big Sur in the south, with the Pacific Coast forming the west boundary and the Salinas Valley forming the east boundary. The service area is 853 square miles, and the service population is 170,000.</w:t>
      </w:r>
    </w:p>
    <w:p w14:paraId="601D1812" w14:textId="77777777" w:rsidR="00000000" w:rsidRDefault="00000000">
      <w:pPr>
        <w:pStyle w:val="BodyText"/>
      </w:pPr>
      <w:r>
        <w:t>The RR park includes a 315-acre permitted sanitary landfill site, a 126-acre buffer area (mostly Salinas River floodplain), and 20 acres for the administration building, scalehouse, and public drop-off recycling station, Also included are a resale facility (Last Chance Mercantile), maintenance buildings, landfill gas power project, a materials recovery facility (MRF), and a permanent household hazardous waste collection facility. In addition, construction and demolition (C&amp;D) recycling operations, composting facilities, and a soils blending facility are located on the landfill site.</w:t>
      </w:r>
    </w:p>
    <w:p w14:paraId="57315CF4" w14:textId="77777777" w:rsidR="00000000" w:rsidRDefault="00000000">
      <w:pPr>
        <w:pStyle w:val="BodyText"/>
      </w:pPr>
      <w:r>
        <w:t>MRWMD limits land uses at the site to compatible uses and facilities that use recycled materials as feedstocks. The Monterey RR park was designed in large part based on the concept of the “serial MRF” in Berkeley. Urban Ore promoted this concept in the 1980s and 1990s. The company encouraged people to coordinate, co-locate, and promote related reuse, recycling, and composting businesses in an area.</w:t>
      </w:r>
    </w:p>
    <w:p w14:paraId="1BC7E47E" w14:textId="77777777" w:rsidR="00000000" w:rsidRDefault="00000000">
      <w:pPr>
        <w:pStyle w:val="BodyText"/>
      </w:pPr>
      <w:r>
        <w:t>Rather than building new facilities to compete with existing private investments, serial MRFs built on those investments. Public investments can bridge the gaps in existing and future private activities.</w:t>
      </w:r>
    </w:p>
    <w:p w14:paraId="5E95862C" w14:textId="77777777" w:rsidR="00000000" w:rsidRDefault="00000000">
      <w:pPr>
        <w:pStyle w:val="BodyText"/>
      </w:pPr>
      <w:r>
        <w:t>Because Monterey has numerous private curbside recycling programs, the MRWMD did not include the processing of residential curbside materials as part of their MRF design. Instead, the Monterey MRF targets materials brought in from self-haul loads and commercial wastes, C&amp;D debris, wood waste, and yard waste received at the facility. The MRF has achieved its current goal of diverting 60 percent of these incoming materials. (Garbage trucks hauling residential garbage and wet commercial waste go directly to the landfill.)</w:t>
      </w:r>
    </w:p>
    <w:p w14:paraId="29491C01" w14:textId="77777777" w:rsidR="00000000" w:rsidRDefault="00000000">
      <w:pPr>
        <w:pStyle w:val="BodyText"/>
      </w:pPr>
      <w:r>
        <w:t xml:space="preserve">The 95,000-square foot MRF building was completed in May 1996 at a cost of $9.6 million. The building features recycled construction materials throughout: in its base rock, its fiberglass and cellulose insulation, the wall paneling, </w:t>
      </w:r>
      <w:r>
        <w:t>bathroom tiles, bathroom partitions, and floor coverings. (The employee meeting area floor coverings are made from recycled tires). The special design of the MRF features earned a $34,000 rebate from PG&amp;E for energy conservation.</w:t>
      </w:r>
    </w:p>
    <w:p w14:paraId="74C419EB" w14:textId="21A98624" w:rsidR="00000000" w:rsidRDefault="00711CDE">
      <w:pPr>
        <w:pStyle w:val="BodyText"/>
      </w:pPr>
      <w:r>
        <w:rPr>
          <w:noProof/>
          <w:sz w:val="20"/>
        </w:rPr>
        <mc:AlternateContent>
          <mc:Choice Requires="wps">
            <w:drawing>
              <wp:anchor distT="0" distB="0" distL="114300" distR="114300" simplePos="0" relativeHeight="251657216" behindDoc="0" locked="0" layoutInCell="1" allowOverlap="1" wp14:anchorId="20C6B779" wp14:editId="25C214ED">
                <wp:simplePos x="0" y="0"/>
                <wp:positionH relativeFrom="column">
                  <wp:posOffset>-76200</wp:posOffset>
                </wp:positionH>
                <wp:positionV relativeFrom="paragraph">
                  <wp:posOffset>1554480</wp:posOffset>
                </wp:positionV>
                <wp:extent cx="2971800" cy="5549900"/>
                <wp:effectExtent l="0" t="0" r="0" b="0"/>
                <wp:wrapSquare wrapText="bothSides"/>
                <wp:docPr id="1020535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4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71A11" w14:textId="77777777" w:rsidR="00000000" w:rsidRDefault="00000000">
                            <w:pPr>
                              <w:pStyle w:val="TableTitle"/>
                            </w:pPr>
                            <w:r>
                              <w:t xml:space="preserve">Table 1—Landscaping Supplies Sold at </w:t>
                            </w:r>
                            <w:r>
                              <w:br/>
                              <w:t>the Last Chance Mercantile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2016"/>
                            </w:tblGrid>
                            <w:tr w:rsidR="00000000" w14:paraId="312660A8" w14:textId="77777777">
                              <w:tblPrEx>
                                <w:tblCellMar>
                                  <w:top w:w="0" w:type="dxa"/>
                                  <w:bottom w:w="0" w:type="dxa"/>
                                </w:tblCellMar>
                              </w:tblPrEx>
                              <w:trPr>
                                <w:trHeight w:val="440"/>
                              </w:trPr>
                              <w:tc>
                                <w:tcPr>
                                  <w:tcW w:w="2016" w:type="dxa"/>
                                </w:tcPr>
                                <w:p w14:paraId="6A7FDBAF" w14:textId="77777777" w:rsidR="00000000" w:rsidRDefault="00000000">
                                  <w:pPr>
                                    <w:pStyle w:val="TableHeading"/>
                                  </w:pPr>
                                  <w:r>
                                    <w:t>Material</w:t>
                                  </w:r>
                                </w:p>
                              </w:tc>
                              <w:tc>
                                <w:tcPr>
                                  <w:tcW w:w="2016" w:type="dxa"/>
                                </w:tcPr>
                                <w:p w14:paraId="461BBCCA" w14:textId="77777777" w:rsidR="00000000" w:rsidRDefault="00000000">
                                  <w:pPr>
                                    <w:pStyle w:val="TableHeading"/>
                                  </w:pPr>
                                  <w:r>
                                    <w:t>Description</w:t>
                                  </w:r>
                                </w:p>
                              </w:tc>
                            </w:tr>
                            <w:tr w:rsidR="00000000" w14:paraId="6ADF2834" w14:textId="77777777">
                              <w:tblPrEx>
                                <w:tblCellMar>
                                  <w:top w:w="0" w:type="dxa"/>
                                  <w:bottom w:w="0" w:type="dxa"/>
                                </w:tblCellMar>
                              </w:tblPrEx>
                              <w:tc>
                                <w:tcPr>
                                  <w:tcW w:w="2016" w:type="dxa"/>
                                </w:tcPr>
                                <w:p w14:paraId="2856ED9E" w14:textId="77777777" w:rsidR="00000000" w:rsidRDefault="00000000">
                                  <w:pPr>
                                    <w:pStyle w:val="BodyText"/>
                                  </w:pPr>
                                  <w:r>
                                    <w:t>Compost products</w:t>
                                  </w:r>
                                </w:p>
                                <w:p w14:paraId="29E67F0C" w14:textId="77777777" w:rsidR="00000000" w:rsidRDefault="00000000">
                                  <w:pPr>
                                    <w:pStyle w:val="TableText"/>
                                  </w:pPr>
                                </w:p>
                              </w:tc>
                              <w:tc>
                                <w:tcPr>
                                  <w:tcW w:w="2016" w:type="dxa"/>
                                </w:tcPr>
                                <w:p w14:paraId="0AA4AF20" w14:textId="77777777" w:rsidR="00000000" w:rsidRDefault="00000000">
                                  <w:pPr>
                                    <w:pStyle w:val="TableText"/>
                                  </w:pPr>
                                  <w:r>
                                    <w:t>100% organic material, such as mushroom bedding and woody products</w:t>
                                  </w:r>
                                </w:p>
                              </w:tc>
                            </w:tr>
                            <w:tr w:rsidR="00000000" w14:paraId="729923AA" w14:textId="77777777">
                              <w:tblPrEx>
                                <w:tblCellMar>
                                  <w:top w:w="0" w:type="dxa"/>
                                  <w:bottom w:w="0" w:type="dxa"/>
                                </w:tblCellMar>
                              </w:tblPrEx>
                              <w:tc>
                                <w:tcPr>
                                  <w:tcW w:w="2016" w:type="dxa"/>
                                </w:tcPr>
                                <w:p w14:paraId="0E163AF8" w14:textId="77777777" w:rsidR="00000000" w:rsidRDefault="00000000">
                                  <w:pPr>
                                    <w:pStyle w:val="BodyText"/>
                                  </w:pPr>
                                  <w:r>
                                    <w:t>Potting soil</w:t>
                                  </w:r>
                                </w:p>
                                <w:p w14:paraId="05E0FB1D" w14:textId="77777777" w:rsidR="00000000" w:rsidRDefault="00000000">
                                  <w:pPr>
                                    <w:pStyle w:val="TableHeading"/>
                                  </w:pPr>
                                </w:p>
                              </w:tc>
                              <w:tc>
                                <w:tcPr>
                                  <w:tcW w:w="2016" w:type="dxa"/>
                                </w:tcPr>
                                <w:p w14:paraId="230E31CC" w14:textId="77777777" w:rsidR="00000000" w:rsidRDefault="00000000">
                                  <w:pPr>
                                    <w:pStyle w:val="TableText"/>
                                  </w:pPr>
                                  <w:r>
                                    <w:t>Mix of sandy soil (20%), humus (65%), and other organic material</w:t>
                                  </w:r>
                                </w:p>
                              </w:tc>
                            </w:tr>
                            <w:tr w:rsidR="00000000" w14:paraId="375658F1" w14:textId="77777777">
                              <w:tblPrEx>
                                <w:tblCellMar>
                                  <w:top w:w="0" w:type="dxa"/>
                                  <w:bottom w:w="0" w:type="dxa"/>
                                </w:tblCellMar>
                              </w:tblPrEx>
                              <w:tc>
                                <w:tcPr>
                                  <w:tcW w:w="2016" w:type="dxa"/>
                                </w:tcPr>
                                <w:p w14:paraId="77FA38AD" w14:textId="77777777" w:rsidR="00000000" w:rsidRDefault="00000000">
                                  <w:pPr>
                                    <w:pStyle w:val="BodyText"/>
                                  </w:pPr>
                                  <w:r>
                                    <w:t>Topsoil blend</w:t>
                                  </w:r>
                                </w:p>
                                <w:p w14:paraId="555D31DE" w14:textId="77777777" w:rsidR="00000000" w:rsidRDefault="00000000">
                                  <w:pPr>
                                    <w:pStyle w:val="TableHeading"/>
                                  </w:pPr>
                                </w:p>
                              </w:tc>
                              <w:tc>
                                <w:tcPr>
                                  <w:tcW w:w="2016" w:type="dxa"/>
                                </w:tcPr>
                                <w:p w14:paraId="734EF693" w14:textId="77777777" w:rsidR="00000000" w:rsidRDefault="00000000">
                                  <w:pPr>
                                    <w:pStyle w:val="TableText"/>
                                  </w:pPr>
                                  <w:r>
                                    <w:t>Mix of sandy soil (40%), humus (30%), and other organic material</w:t>
                                  </w:r>
                                </w:p>
                              </w:tc>
                            </w:tr>
                            <w:tr w:rsidR="00000000" w14:paraId="40091249" w14:textId="77777777">
                              <w:tblPrEx>
                                <w:tblCellMar>
                                  <w:top w:w="0" w:type="dxa"/>
                                  <w:bottom w:w="0" w:type="dxa"/>
                                </w:tblCellMar>
                              </w:tblPrEx>
                              <w:trPr>
                                <w:trHeight w:val="864"/>
                              </w:trPr>
                              <w:tc>
                                <w:tcPr>
                                  <w:tcW w:w="2016" w:type="dxa"/>
                                </w:tcPr>
                                <w:p w14:paraId="069EF2FD" w14:textId="77777777" w:rsidR="00000000" w:rsidRDefault="00000000">
                                  <w:pPr>
                                    <w:pStyle w:val="BodyText"/>
                                  </w:pPr>
                                  <w:r>
                                    <w:t>Woodchips</w:t>
                                  </w:r>
                                </w:p>
                                <w:p w14:paraId="1ADC9ACB" w14:textId="77777777" w:rsidR="00000000" w:rsidRDefault="00000000">
                                  <w:pPr>
                                    <w:pStyle w:val="TableHeading"/>
                                  </w:pPr>
                                </w:p>
                              </w:tc>
                              <w:tc>
                                <w:tcPr>
                                  <w:tcW w:w="2016" w:type="dxa"/>
                                </w:tcPr>
                                <w:p w14:paraId="1C2B3125" w14:textId="77777777" w:rsidR="00000000" w:rsidRDefault="00000000">
                                  <w:pPr>
                                    <w:pStyle w:val="TableText"/>
                                  </w:pPr>
                                  <w:r>
                                    <w:t>Processed wood cuttings available in several colors</w:t>
                                  </w:r>
                                </w:p>
                              </w:tc>
                            </w:tr>
                            <w:tr w:rsidR="00000000" w14:paraId="39CA18EB" w14:textId="77777777">
                              <w:tblPrEx>
                                <w:tblCellMar>
                                  <w:top w:w="0" w:type="dxa"/>
                                  <w:bottom w:w="0" w:type="dxa"/>
                                </w:tblCellMar>
                              </w:tblPrEx>
                              <w:tc>
                                <w:tcPr>
                                  <w:tcW w:w="2016" w:type="dxa"/>
                                </w:tcPr>
                                <w:p w14:paraId="370F5D0D" w14:textId="77777777" w:rsidR="00000000" w:rsidRDefault="00000000">
                                  <w:pPr>
                                    <w:pStyle w:val="BodyText"/>
                                  </w:pPr>
                                  <w:r>
                                    <w:t>Mulch</w:t>
                                  </w:r>
                                </w:p>
                                <w:p w14:paraId="63719017" w14:textId="77777777" w:rsidR="00000000" w:rsidRDefault="00000000">
                                  <w:pPr>
                                    <w:pStyle w:val="TableHeading"/>
                                  </w:pPr>
                                </w:p>
                              </w:tc>
                              <w:tc>
                                <w:tcPr>
                                  <w:tcW w:w="2016" w:type="dxa"/>
                                </w:tcPr>
                                <w:p w14:paraId="16B1B06E" w14:textId="77777777" w:rsidR="00000000" w:rsidRDefault="00000000">
                                  <w:pPr>
                                    <w:pStyle w:val="TableText"/>
                                  </w:pPr>
                                  <w:r>
                                    <w:t>Processed green cuttings, 3/4" and smaller</w:t>
                                  </w:r>
                                </w:p>
                              </w:tc>
                            </w:tr>
                            <w:tr w:rsidR="00000000" w14:paraId="0654D809" w14:textId="77777777">
                              <w:tblPrEx>
                                <w:tblCellMar>
                                  <w:top w:w="0" w:type="dxa"/>
                                  <w:bottom w:w="0" w:type="dxa"/>
                                </w:tblCellMar>
                              </w:tblPrEx>
                              <w:tc>
                                <w:tcPr>
                                  <w:tcW w:w="2016" w:type="dxa"/>
                                </w:tcPr>
                                <w:p w14:paraId="192AC89D" w14:textId="77777777" w:rsidR="00000000" w:rsidRDefault="00000000">
                                  <w:pPr>
                                    <w:pStyle w:val="BodyText"/>
                                  </w:pPr>
                                  <w:r>
                                    <w:t>Ground Cover</w:t>
                                  </w:r>
                                </w:p>
                                <w:p w14:paraId="195EEF54" w14:textId="77777777" w:rsidR="00000000" w:rsidRDefault="00000000">
                                  <w:pPr>
                                    <w:pStyle w:val="TableHeading"/>
                                  </w:pPr>
                                </w:p>
                              </w:tc>
                              <w:tc>
                                <w:tcPr>
                                  <w:tcW w:w="2016" w:type="dxa"/>
                                </w:tcPr>
                                <w:p w14:paraId="6A101725" w14:textId="77777777" w:rsidR="00000000" w:rsidRDefault="00000000">
                                  <w:pPr>
                                    <w:pStyle w:val="TableText"/>
                                  </w:pPr>
                                  <w:r>
                                    <w:t>Processed green cuttings, 3/4" and larger</w:t>
                                  </w:r>
                                </w:p>
                              </w:tc>
                            </w:tr>
                            <w:tr w:rsidR="00000000" w14:paraId="0712B132" w14:textId="77777777">
                              <w:tblPrEx>
                                <w:tblCellMar>
                                  <w:top w:w="0" w:type="dxa"/>
                                  <w:bottom w:w="0" w:type="dxa"/>
                                </w:tblCellMar>
                              </w:tblPrEx>
                              <w:tc>
                                <w:tcPr>
                                  <w:tcW w:w="2016" w:type="dxa"/>
                                </w:tcPr>
                                <w:p w14:paraId="7FF092D4" w14:textId="77777777" w:rsidR="00000000" w:rsidRDefault="00000000">
                                  <w:pPr>
                                    <w:pStyle w:val="BodyText"/>
                                  </w:pPr>
                                  <w:r>
                                    <w:t>Firewood</w:t>
                                  </w:r>
                                </w:p>
                                <w:p w14:paraId="4B3DCCBF" w14:textId="77777777" w:rsidR="00000000" w:rsidRDefault="00000000">
                                  <w:pPr>
                                    <w:pStyle w:val="TableHeading"/>
                                  </w:pPr>
                                </w:p>
                              </w:tc>
                              <w:tc>
                                <w:tcPr>
                                  <w:tcW w:w="2016" w:type="dxa"/>
                                </w:tcPr>
                                <w:p w14:paraId="1CE48D70" w14:textId="77777777" w:rsidR="00000000" w:rsidRDefault="00000000">
                                  <w:pPr>
                                    <w:pStyle w:val="TableText"/>
                                  </w:pPr>
                                  <w:r>
                                    <w:t>Tree rounds, limbs, and branches only. (does not include any processed wood or lumber products)</w:t>
                                  </w:r>
                                </w:p>
                              </w:tc>
                            </w:tr>
                          </w:tbl>
                          <w:p w14:paraId="732484C8" w14:textId="77777777" w:rsidR="00000000" w:rsidRDefault="00000000">
                            <w:pPr>
                              <w:pStyle w:val="TableHeading"/>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6B779" id="_x0000_t202" coordsize="21600,21600" o:spt="202" path="m,l,21600r21600,l21600,xe">
                <v:stroke joinstyle="miter"/>
                <v:path gradientshapeok="t" o:connecttype="rect"/>
              </v:shapetype>
              <v:shape id="Text Box 2" o:spid="_x0000_s1026" type="#_x0000_t202" style="position:absolute;margin-left:-6pt;margin-top:122.4pt;width:234pt;height:4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" stroked="f">
                <v:textbox inset=",0">
                  <w:txbxContent>
                    <w:p w14:paraId="4B071A11" w14:textId="77777777" w:rsidR="00000000" w:rsidRDefault="00000000">
                      <w:pPr>
                        <w:pStyle w:val="TableTitle"/>
                      </w:pPr>
                      <w:r>
                        <w:t xml:space="preserve">Table 1—Landscaping Supplies Sold at </w:t>
                      </w:r>
                      <w:r>
                        <w:br/>
                        <w:t>the Last Chance Mercantile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2016"/>
                      </w:tblGrid>
                      <w:tr w:rsidR="00000000" w14:paraId="312660A8" w14:textId="77777777">
                        <w:tblPrEx>
                          <w:tblCellMar>
                            <w:top w:w="0" w:type="dxa"/>
                            <w:bottom w:w="0" w:type="dxa"/>
                          </w:tblCellMar>
                        </w:tblPrEx>
                        <w:trPr>
                          <w:trHeight w:val="440"/>
                        </w:trPr>
                        <w:tc>
                          <w:tcPr>
                            <w:tcW w:w="2016" w:type="dxa"/>
                          </w:tcPr>
                          <w:p w14:paraId="6A7FDBAF" w14:textId="77777777" w:rsidR="00000000" w:rsidRDefault="00000000">
                            <w:pPr>
                              <w:pStyle w:val="TableHeading"/>
                            </w:pPr>
                            <w:r>
                              <w:t>Material</w:t>
                            </w:r>
                          </w:p>
                        </w:tc>
                        <w:tc>
                          <w:tcPr>
                            <w:tcW w:w="2016" w:type="dxa"/>
                          </w:tcPr>
                          <w:p w14:paraId="461BBCCA" w14:textId="77777777" w:rsidR="00000000" w:rsidRDefault="00000000">
                            <w:pPr>
                              <w:pStyle w:val="TableHeading"/>
                            </w:pPr>
                            <w:r>
                              <w:t>Description</w:t>
                            </w:r>
                          </w:p>
                        </w:tc>
                      </w:tr>
                      <w:tr w:rsidR="00000000" w14:paraId="6ADF2834" w14:textId="77777777">
                        <w:tblPrEx>
                          <w:tblCellMar>
                            <w:top w:w="0" w:type="dxa"/>
                            <w:bottom w:w="0" w:type="dxa"/>
                          </w:tblCellMar>
                        </w:tblPrEx>
                        <w:tc>
                          <w:tcPr>
                            <w:tcW w:w="2016" w:type="dxa"/>
                          </w:tcPr>
                          <w:p w14:paraId="2856ED9E" w14:textId="77777777" w:rsidR="00000000" w:rsidRDefault="00000000">
                            <w:pPr>
                              <w:pStyle w:val="BodyText"/>
                            </w:pPr>
                            <w:r>
                              <w:t>Compost products</w:t>
                            </w:r>
                          </w:p>
                          <w:p w14:paraId="29E67F0C" w14:textId="77777777" w:rsidR="00000000" w:rsidRDefault="00000000">
                            <w:pPr>
                              <w:pStyle w:val="TableText"/>
                            </w:pPr>
                          </w:p>
                        </w:tc>
                        <w:tc>
                          <w:tcPr>
                            <w:tcW w:w="2016" w:type="dxa"/>
                          </w:tcPr>
                          <w:p w14:paraId="0AA4AF20" w14:textId="77777777" w:rsidR="00000000" w:rsidRDefault="00000000">
                            <w:pPr>
                              <w:pStyle w:val="TableText"/>
                            </w:pPr>
                            <w:r>
                              <w:t>100% organic material, such as mushroom bedding and woody products</w:t>
                            </w:r>
                          </w:p>
                        </w:tc>
                      </w:tr>
                      <w:tr w:rsidR="00000000" w14:paraId="729923AA" w14:textId="77777777">
                        <w:tblPrEx>
                          <w:tblCellMar>
                            <w:top w:w="0" w:type="dxa"/>
                            <w:bottom w:w="0" w:type="dxa"/>
                          </w:tblCellMar>
                        </w:tblPrEx>
                        <w:tc>
                          <w:tcPr>
                            <w:tcW w:w="2016" w:type="dxa"/>
                          </w:tcPr>
                          <w:p w14:paraId="0E163AF8" w14:textId="77777777" w:rsidR="00000000" w:rsidRDefault="00000000">
                            <w:pPr>
                              <w:pStyle w:val="BodyText"/>
                            </w:pPr>
                            <w:r>
                              <w:t>Potting soil</w:t>
                            </w:r>
                          </w:p>
                          <w:p w14:paraId="05E0FB1D" w14:textId="77777777" w:rsidR="00000000" w:rsidRDefault="00000000">
                            <w:pPr>
                              <w:pStyle w:val="TableHeading"/>
                            </w:pPr>
                          </w:p>
                        </w:tc>
                        <w:tc>
                          <w:tcPr>
                            <w:tcW w:w="2016" w:type="dxa"/>
                          </w:tcPr>
                          <w:p w14:paraId="230E31CC" w14:textId="77777777" w:rsidR="00000000" w:rsidRDefault="00000000">
                            <w:pPr>
                              <w:pStyle w:val="TableText"/>
                            </w:pPr>
                            <w:r>
                              <w:t>Mix of sandy soil (20%), humus (65%), and other organic material</w:t>
                            </w:r>
                          </w:p>
                        </w:tc>
                      </w:tr>
                      <w:tr w:rsidR="00000000" w14:paraId="375658F1" w14:textId="77777777">
                        <w:tblPrEx>
                          <w:tblCellMar>
                            <w:top w:w="0" w:type="dxa"/>
                            <w:bottom w:w="0" w:type="dxa"/>
                          </w:tblCellMar>
                        </w:tblPrEx>
                        <w:tc>
                          <w:tcPr>
                            <w:tcW w:w="2016" w:type="dxa"/>
                          </w:tcPr>
                          <w:p w14:paraId="77FA38AD" w14:textId="77777777" w:rsidR="00000000" w:rsidRDefault="00000000">
                            <w:pPr>
                              <w:pStyle w:val="BodyText"/>
                            </w:pPr>
                            <w:r>
                              <w:t>Topsoil blend</w:t>
                            </w:r>
                          </w:p>
                          <w:p w14:paraId="555D31DE" w14:textId="77777777" w:rsidR="00000000" w:rsidRDefault="00000000">
                            <w:pPr>
                              <w:pStyle w:val="TableHeading"/>
                            </w:pPr>
                          </w:p>
                        </w:tc>
                        <w:tc>
                          <w:tcPr>
                            <w:tcW w:w="2016" w:type="dxa"/>
                          </w:tcPr>
                          <w:p w14:paraId="734EF693" w14:textId="77777777" w:rsidR="00000000" w:rsidRDefault="00000000">
                            <w:pPr>
                              <w:pStyle w:val="TableText"/>
                            </w:pPr>
                            <w:r>
                              <w:t>Mix of sandy soil (40%), humus (30%), and other organic material</w:t>
                            </w:r>
                          </w:p>
                        </w:tc>
                      </w:tr>
                      <w:tr w:rsidR="00000000" w14:paraId="40091249" w14:textId="77777777">
                        <w:tblPrEx>
                          <w:tblCellMar>
                            <w:top w:w="0" w:type="dxa"/>
                            <w:bottom w:w="0" w:type="dxa"/>
                          </w:tblCellMar>
                        </w:tblPrEx>
                        <w:trPr>
                          <w:trHeight w:val="864"/>
                        </w:trPr>
                        <w:tc>
                          <w:tcPr>
                            <w:tcW w:w="2016" w:type="dxa"/>
                          </w:tcPr>
                          <w:p w14:paraId="069EF2FD" w14:textId="77777777" w:rsidR="00000000" w:rsidRDefault="00000000">
                            <w:pPr>
                              <w:pStyle w:val="BodyText"/>
                            </w:pPr>
                            <w:r>
                              <w:t>Woodchips</w:t>
                            </w:r>
                          </w:p>
                          <w:p w14:paraId="1ADC9ACB" w14:textId="77777777" w:rsidR="00000000" w:rsidRDefault="00000000">
                            <w:pPr>
                              <w:pStyle w:val="TableHeading"/>
                            </w:pPr>
                          </w:p>
                        </w:tc>
                        <w:tc>
                          <w:tcPr>
                            <w:tcW w:w="2016" w:type="dxa"/>
                          </w:tcPr>
                          <w:p w14:paraId="1C2B3125" w14:textId="77777777" w:rsidR="00000000" w:rsidRDefault="00000000">
                            <w:pPr>
                              <w:pStyle w:val="TableText"/>
                            </w:pPr>
                            <w:r>
                              <w:t>Processed wood cuttings available in several colors</w:t>
                            </w:r>
                          </w:p>
                        </w:tc>
                      </w:tr>
                      <w:tr w:rsidR="00000000" w14:paraId="39CA18EB" w14:textId="77777777">
                        <w:tblPrEx>
                          <w:tblCellMar>
                            <w:top w:w="0" w:type="dxa"/>
                            <w:bottom w:w="0" w:type="dxa"/>
                          </w:tblCellMar>
                        </w:tblPrEx>
                        <w:tc>
                          <w:tcPr>
                            <w:tcW w:w="2016" w:type="dxa"/>
                          </w:tcPr>
                          <w:p w14:paraId="370F5D0D" w14:textId="77777777" w:rsidR="00000000" w:rsidRDefault="00000000">
                            <w:pPr>
                              <w:pStyle w:val="BodyText"/>
                            </w:pPr>
                            <w:r>
                              <w:t>Mulch</w:t>
                            </w:r>
                          </w:p>
                          <w:p w14:paraId="63719017" w14:textId="77777777" w:rsidR="00000000" w:rsidRDefault="00000000">
                            <w:pPr>
                              <w:pStyle w:val="TableHeading"/>
                            </w:pPr>
                          </w:p>
                        </w:tc>
                        <w:tc>
                          <w:tcPr>
                            <w:tcW w:w="2016" w:type="dxa"/>
                          </w:tcPr>
                          <w:p w14:paraId="16B1B06E" w14:textId="77777777" w:rsidR="00000000" w:rsidRDefault="00000000">
                            <w:pPr>
                              <w:pStyle w:val="TableText"/>
                            </w:pPr>
                            <w:r>
                              <w:t>Processed green cuttings, 3/4" and smaller</w:t>
                            </w:r>
                          </w:p>
                        </w:tc>
                      </w:tr>
                      <w:tr w:rsidR="00000000" w14:paraId="0654D809" w14:textId="77777777">
                        <w:tblPrEx>
                          <w:tblCellMar>
                            <w:top w:w="0" w:type="dxa"/>
                            <w:bottom w:w="0" w:type="dxa"/>
                          </w:tblCellMar>
                        </w:tblPrEx>
                        <w:tc>
                          <w:tcPr>
                            <w:tcW w:w="2016" w:type="dxa"/>
                          </w:tcPr>
                          <w:p w14:paraId="192AC89D" w14:textId="77777777" w:rsidR="00000000" w:rsidRDefault="00000000">
                            <w:pPr>
                              <w:pStyle w:val="BodyText"/>
                            </w:pPr>
                            <w:r>
                              <w:t>Ground Cover</w:t>
                            </w:r>
                          </w:p>
                          <w:p w14:paraId="195EEF54" w14:textId="77777777" w:rsidR="00000000" w:rsidRDefault="00000000">
                            <w:pPr>
                              <w:pStyle w:val="TableHeading"/>
                            </w:pPr>
                          </w:p>
                        </w:tc>
                        <w:tc>
                          <w:tcPr>
                            <w:tcW w:w="2016" w:type="dxa"/>
                          </w:tcPr>
                          <w:p w14:paraId="6A101725" w14:textId="77777777" w:rsidR="00000000" w:rsidRDefault="00000000">
                            <w:pPr>
                              <w:pStyle w:val="TableText"/>
                            </w:pPr>
                            <w:r>
                              <w:t>Processed green cuttings, 3/4" and larger</w:t>
                            </w:r>
                          </w:p>
                        </w:tc>
                      </w:tr>
                      <w:tr w:rsidR="00000000" w14:paraId="0712B132" w14:textId="77777777">
                        <w:tblPrEx>
                          <w:tblCellMar>
                            <w:top w:w="0" w:type="dxa"/>
                            <w:bottom w:w="0" w:type="dxa"/>
                          </w:tblCellMar>
                        </w:tblPrEx>
                        <w:tc>
                          <w:tcPr>
                            <w:tcW w:w="2016" w:type="dxa"/>
                          </w:tcPr>
                          <w:p w14:paraId="7FF092D4" w14:textId="77777777" w:rsidR="00000000" w:rsidRDefault="00000000">
                            <w:pPr>
                              <w:pStyle w:val="BodyText"/>
                            </w:pPr>
                            <w:r>
                              <w:t>Firewood</w:t>
                            </w:r>
                          </w:p>
                          <w:p w14:paraId="4B3DCCBF" w14:textId="77777777" w:rsidR="00000000" w:rsidRDefault="00000000">
                            <w:pPr>
                              <w:pStyle w:val="TableHeading"/>
                            </w:pPr>
                          </w:p>
                        </w:tc>
                        <w:tc>
                          <w:tcPr>
                            <w:tcW w:w="2016" w:type="dxa"/>
                          </w:tcPr>
                          <w:p w14:paraId="1CE48D70" w14:textId="77777777" w:rsidR="00000000" w:rsidRDefault="00000000">
                            <w:pPr>
                              <w:pStyle w:val="TableText"/>
                            </w:pPr>
                            <w:r>
                              <w:t>Tree rounds, limbs, and branches only. (does not include any processed wood or lumber products)</w:t>
                            </w:r>
                          </w:p>
                        </w:tc>
                      </w:tr>
                    </w:tbl>
                    <w:p w14:paraId="732484C8" w14:textId="77777777" w:rsidR="00000000" w:rsidRDefault="00000000">
                      <w:pPr>
                        <w:pStyle w:val="TableHeading"/>
                      </w:pPr>
                    </w:p>
                  </w:txbxContent>
                </v:textbox>
                <w10:wrap type="square"/>
              </v:shape>
            </w:pict>
          </mc:Fallback>
        </mc:AlternateContent>
      </w:r>
      <w:r w:rsidR="00000000">
        <w:t>Rather than developing its own composting and C&amp;D recycling facilities, MRWMD has contracted with existing private operations to provide those services. The facility leases part of its site to several local composting companies for a nominal fee. As part of the contract, MRWMD requires the companies to first use MRWMD organic material as feedstock for their products. MRWMD has some control on material brought in from outside.</w:t>
      </w:r>
    </w:p>
    <w:p w14:paraId="2223381F" w14:textId="77777777" w:rsidR="00000000" w:rsidRDefault="00000000">
      <w:pPr>
        <w:pStyle w:val="BodyText"/>
      </w:pPr>
      <w:r>
        <w:lastRenderedPageBreak/>
        <w:t>MRWMD sells low-cost landscaping supplies made from recycled wood and yard waste. These are available by the ton at the MRF and in bags at the Last Chance Mercantile. At the Last Chance, customers get a two-cubic-foot heavy plastic bag and they can fill their own bag for the published price. The facility assesses fines for recovered organic material and dirt.</w:t>
      </w:r>
    </w:p>
    <w:p w14:paraId="3C2CB888" w14:textId="77777777" w:rsidR="00000000" w:rsidRDefault="00000000">
      <w:pPr>
        <w:pStyle w:val="BodyText"/>
      </w:pPr>
      <w:r>
        <w:t>MRWMD also contracts with the Granite Construction Company to process C&amp;D materials received on site. The company brings in a mobile crushing unit when necessary. Granite provides the MRWMD with a royalty of 50 cents for every ton processed at their facility. The company also processes contaminated soils, paying MRWMD with a royalty of $1.50 for every ton they process at this site.</w:t>
      </w:r>
    </w:p>
    <w:p w14:paraId="1AB006E2" w14:textId="77777777" w:rsidR="00000000" w:rsidRDefault="00000000">
      <w:pPr>
        <w:pStyle w:val="BodyText"/>
      </w:pPr>
      <w:r>
        <w:t>Granite Construction uses most of the crushed C&amp;D material in a wide variety of area construction projects. As an example, most of a recent repaving of Cannery Row in Monterey used recycled base rock from this facility.</w:t>
      </w:r>
    </w:p>
    <w:p w14:paraId="6E04DEE5" w14:textId="77777777" w:rsidR="00000000" w:rsidRDefault="00000000">
      <w:pPr>
        <w:pStyle w:val="BodyText"/>
      </w:pPr>
      <w:r>
        <w:t>MRWMD uses crushed material on site for roads and other construction purposes. MRWMD often takes product in exchange for royalties due from companies.</w:t>
      </w:r>
    </w:p>
    <w:p w14:paraId="4BE7EC61" w14:textId="77777777" w:rsidR="00000000" w:rsidRDefault="00000000">
      <w:pPr>
        <w:pStyle w:val="BodyText"/>
      </w:pPr>
      <w:r>
        <w:t>The first landfill gas-to-electrical energy system in Central California was installed at the landfill in 1983. The system currently generates more than 2,800 kilowatts of continuous power. The district also accepts and safely recycles or disposes of household hazardous waste.</w:t>
      </w:r>
    </w:p>
    <w:p w14:paraId="1B642260" w14:textId="77777777" w:rsidR="00000000" w:rsidRDefault="00000000">
      <w:pPr>
        <w:pStyle w:val="Heading1"/>
      </w:pPr>
      <w:r>
        <w:t>Case Study: Urban Ore RR Park</w:t>
      </w:r>
    </w:p>
    <w:p w14:paraId="6B878E3F" w14:textId="77777777" w:rsidR="00000000" w:rsidRDefault="00000000">
      <w:pPr>
        <w:pStyle w:val="BodyText"/>
      </w:pPr>
      <w:r>
        <w:t>Urban Ore is in the process of developing a 2.2- acre resource recovery park in a former steel pipe manufacturing facility in Berkeley, California. The building itself is a reuse demonstration project, and it will house a synergistic collection of reuse businesses and small manufacturers.</w:t>
      </w:r>
    </w:p>
    <w:p w14:paraId="4A68EAC4" w14:textId="77777777" w:rsidR="00000000" w:rsidRDefault="00000000">
      <w:pPr>
        <w:pStyle w:val="BodyText"/>
      </w:pPr>
      <w:r>
        <w:t>Urban Ore is moving its 2 acres of used goods to this new leased location, on 7th Street half a block south of Ashby, right off Interstate 80. The site has good public visibility and is located near two major lumberyards, a hardware store, and two other reuse facilities within three blocks. This provides a steady stream of potential customers flowing nearby.</w:t>
      </w:r>
    </w:p>
    <w:p w14:paraId="36033FFD" w14:textId="77777777" w:rsidR="00000000" w:rsidRDefault="00000000">
      <w:pPr>
        <w:pStyle w:val="BodyText"/>
      </w:pPr>
      <w:r>
        <w:br w:type="column"/>
      </w:r>
      <w:r>
        <w:t>Urban Ore has several departments:</w:t>
      </w:r>
    </w:p>
    <w:p w14:paraId="35BA9E22" w14:textId="77777777" w:rsidR="00000000" w:rsidRDefault="00000000">
      <w:pPr>
        <w:pStyle w:val="BulletText"/>
      </w:pPr>
      <w:r>
        <w:t>Building materials exchange.</w:t>
      </w:r>
    </w:p>
    <w:p w14:paraId="5351544B" w14:textId="77777777" w:rsidR="00000000" w:rsidRDefault="00000000">
      <w:pPr>
        <w:pStyle w:val="BulletText"/>
      </w:pPr>
      <w:r>
        <w:t>Hardware exchange.</w:t>
      </w:r>
    </w:p>
    <w:p w14:paraId="721BA832" w14:textId="77777777" w:rsidR="00000000" w:rsidRDefault="00000000">
      <w:pPr>
        <w:pStyle w:val="BulletText"/>
      </w:pPr>
      <w:r>
        <w:t>Arts and media exchange.</w:t>
      </w:r>
    </w:p>
    <w:p w14:paraId="2A107609" w14:textId="77777777" w:rsidR="00000000" w:rsidRDefault="00000000">
      <w:pPr>
        <w:pStyle w:val="BulletText"/>
      </w:pPr>
      <w:r>
        <w:t>General store.</w:t>
      </w:r>
    </w:p>
    <w:p w14:paraId="548CF216" w14:textId="77777777" w:rsidR="00000000" w:rsidRDefault="00000000">
      <w:pPr>
        <w:pStyle w:val="BulletText"/>
      </w:pPr>
      <w:r>
        <w:t>Salvage and recycling.</w:t>
      </w:r>
    </w:p>
    <w:p w14:paraId="3E302663" w14:textId="77777777" w:rsidR="00000000" w:rsidRDefault="00000000">
      <w:pPr>
        <w:pStyle w:val="BodyText"/>
      </w:pPr>
      <w:r>
        <w:t>Urban Ore has already moved its building materials and salvage and recycling departments onto the grounds, even though construction is still in progress. Urban Ore’s general store will remain in its warehouse until construction is complete, so the business will be split in half for a few months. This phased move should be beneficial to maintain contact with its customers. Since Urban Ore used the same location for 18 years, customers will need time to adjust to the new location.</w:t>
      </w:r>
    </w:p>
    <w:p w14:paraId="583D691F" w14:textId="77777777" w:rsidR="00000000" w:rsidRDefault="00000000">
      <w:pPr>
        <w:pStyle w:val="BodyText"/>
      </w:pPr>
      <w:r>
        <w:t>Urban Ore will have subtenants whose businesses focus on reuse or manufacturing from recycled feedstocks. The park will operate like a mall, based on recovering materials and keeping resources in the economic stream. Although no subleases have been signed yet, potential subtenants include:</w:t>
      </w:r>
    </w:p>
    <w:p w14:paraId="46F6BD34" w14:textId="77777777" w:rsidR="00000000" w:rsidRDefault="00000000">
      <w:pPr>
        <w:pStyle w:val="BulletText"/>
      </w:pPr>
      <w:r>
        <w:t>A nonprofit organization that rebuilds and upgrades computers and then sells them at low cost to low-income people.</w:t>
      </w:r>
    </w:p>
    <w:p w14:paraId="02C53FCC" w14:textId="77777777" w:rsidR="00000000" w:rsidRDefault="00000000">
      <w:pPr>
        <w:pStyle w:val="BulletText"/>
      </w:pPr>
      <w:r>
        <w:t>A company that makes high-quality countertops out of recycled glass embedded in Portland cement (similar to granite).</w:t>
      </w:r>
    </w:p>
    <w:p w14:paraId="642D28A8" w14:textId="77777777" w:rsidR="00000000" w:rsidRDefault="00000000">
      <w:pPr>
        <w:pStyle w:val="BulletText"/>
      </w:pPr>
      <w:r>
        <w:t>Overflow warehousing for another reuse company.</w:t>
      </w:r>
    </w:p>
    <w:p w14:paraId="337DB40A" w14:textId="77777777" w:rsidR="00000000" w:rsidRDefault="00000000">
      <w:pPr>
        <w:pStyle w:val="BulletText"/>
      </w:pPr>
      <w:r>
        <w:t>A blacksmith who makes products from scrap steel.</w:t>
      </w:r>
    </w:p>
    <w:p w14:paraId="7870A98A" w14:textId="77777777" w:rsidR="00000000" w:rsidRDefault="00000000">
      <w:pPr>
        <w:pStyle w:val="BodyText"/>
      </w:pPr>
      <w:r>
        <w:t>Urban Ore does not currently envision a composting business because the 2.2-acre site is too small and located in a densely populated urban neighborhood.</w:t>
      </w:r>
    </w:p>
    <w:p w14:paraId="1524FF08" w14:textId="77777777" w:rsidR="00000000" w:rsidRDefault="00000000">
      <w:pPr>
        <w:pStyle w:val="BodyText"/>
      </w:pPr>
      <w:r>
        <w:t>Urban Ore will sign the lease on the private property and sublease it like a mall developer. Urban Ore is solely responsible for both the operations and the financing of this facility.</w:t>
      </w:r>
    </w:p>
    <w:p w14:paraId="47589EF6" w14:textId="77777777" w:rsidR="00000000" w:rsidRDefault="00000000">
      <w:pPr>
        <w:pStyle w:val="BodyText"/>
      </w:pPr>
      <w:r>
        <w:t xml:space="preserve">Urban Ore is exploring interest in shared overhead or equipment as part of its negotiations with potential tenants. Discussions are underway with one enterprise regarding sharing or trading </w:t>
      </w:r>
      <w:r>
        <w:lastRenderedPageBreak/>
        <w:t>supplies and services. They are also discussing a product sales exchange. Plans include a large meeting room to host community and recycling groups, training for employees on site, and classes on how to use recycled building materials.</w:t>
      </w:r>
    </w:p>
    <w:p w14:paraId="2DD72107" w14:textId="77777777" w:rsidR="00000000" w:rsidRDefault="00000000">
      <w:pPr>
        <w:pStyle w:val="BodyText"/>
      </w:pPr>
      <w:r>
        <w:t>Last year Urban Ore lost their lease on their old property, and the landlord wouldn’t sell them the site. They thought they might have to leave Berkeley or even go out of the building materials business if they couldn’t find a site. But then Urban Ore got tremendous support from the City, the Alameda County Recycling Board, and the California Integrated Waste Management Board (CIWMB).</w:t>
      </w:r>
    </w:p>
    <w:p w14:paraId="311AE555" w14:textId="77777777" w:rsidR="00000000" w:rsidRDefault="00000000">
      <w:pPr>
        <w:pStyle w:val="BodyText"/>
      </w:pPr>
      <w:r>
        <w:t>The support began with a unanimous city council vote in the spring of 1999 instructing staff to do whatever they could administratively and financially to keep Urban Ore in Berkeley. The results were astonishing.</w:t>
      </w:r>
    </w:p>
    <w:p w14:paraId="6FDCB4E9" w14:textId="77777777" w:rsidR="00000000" w:rsidRDefault="00000000">
      <w:pPr>
        <w:pStyle w:val="BodyText"/>
      </w:pPr>
      <w:r>
        <w:t>City staff provided creative problem-solving every step of the way and provided the following assistance:</w:t>
      </w:r>
    </w:p>
    <w:p w14:paraId="01152FFB" w14:textId="77777777" w:rsidR="00000000" w:rsidRDefault="00000000">
      <w:pPr>
        <w:pStyle w:val="BulletText"/>
      </w:pPr>
      <w:r>
        <w:t>Amended its zoning to permit a new use, “materials recovery enterprise,” in the mixed-use light industrial zone.</w:t>
      </w:r>
    </w:p>
    <w:p w14:paraId="24DE61DD" w14:textId="77777777" w:rsidR="00000000" w:rsidRDefault="00000000">
      <w:pPr>
        <w:pStyle w:val="BulletText"/>
      </w:pPr>
      <w:r>
        <w:t>Issued a use permit in record time.</w:t>
      </w:r>
    </w:p>
    <w:p w14:paraId="025D1F2D" w14:textId="77777777" w:rsidR="00000000" w:rsidRDefault="00000000">
      <w:pPr>
        <w:pStyle w:val="BulletText"/>
      </w:pPr>
      <w:r>
        <w:t>Provided a $100,000 low-interest loan.</w:t>
      </w:r>
    </w:p>
    <w:p w14:paraId="4981AFB1" w14:textId="77777777" w:rsidR="00000000" w:rsidRDefault="00000000">
      <w:pPr>
        <w:pStyle w:val="BulletText"/>
      </w:pPr>
      <w:r>
        <w:t>Waived permit fees.</w:t>
      </w:r>
    </w:p>
    <w:p w14:paraId="0F3DED30" w14:textId="77777777" w:rsidR="00000000" w:rsidRDefault="00000000">
      <w:pPr>
        <w:pStyle w:val="BulletText"/>
      </w:pPr>
      <w:r>
        <w:t>Provided a renewed salvaging license.</w:t>
      </w:r>
    </w:p>
    <w:p w14:paraId="55C10EFF" w14:textId="77777777" w:rsidR="00000000" w:rsidRDefault="00000000">
      <w:pPr>
        <w:pStyle w:val="BodyText"/>
      </w:pPr>
      <w:r>
        <w:t>The Alameda County Recycling Board gave Urban Ore a $100,000 grant to spend as needed so they could either buy the property they had or move to a new site.</w:t>
      </w:r>
    </w:p>
    <w:p w14:paraId="6A692E31" w14:textId="77777777" w:rsidR="00000000" w:rsidRDefault="00000000">
      <w:pPr>
        <w:pStyle w:val="BodyText"/>
      </w:pPr>
      <w:r>
        <w:t>The CIWMB will execute a $200,000 service agreement with the city to make this resource recovery park a demonstration facility. Urban Ore now has a ten-year lease with two five-year options on the property. Construction costs to adapt the facility will be approximately $750,000.</w:t>
      </w:r>
    </w:p>
    <w:p w14:paraId="601DFAAC" w14:textId="77777777" w:rsidR="00000000" w:rsidRDefault="00000000">
      <w:pPr>
        <w:pStyle w:val="BodyText"/>
      </w:pPr>
      <w:r>
        <w:t xml:space="preserve">The construction will be partially financed by the service agreement between the CIWMB and the City of Berkeley. The city will contract with Urban Ore to provide the demonstration facility and become a showcase for how to use recycled building materials in a large building. Urban Ore will include an educational display on the </w:t>
      </w:r>
      <w:r>
        <w:t>materials, provide a self-guided tour, and offer other information and classes.</w:t>
      </w:r>
    </w:p>
    <w:p w14:paraId="79266F66" w14:textId="77777777" w:rsidR="00000000" w:rsidRDefault="00000000">
      <w:pPr>
        <w:pStyle w:val="BodyText"/>
      </w:pPr>
      <w:r>
        <w:t>The public agencies are providing the cash and loan guarantees for Urban Ore to use in adapting the facility. They are also helping the company obtain permits and make connections to other businesses.</w:t>
      </w:r>
    </w:p>
    <w:p w14:paraId="528C90DE" w14:textId="77777777" w:rsidR="00000000" w:rsidRDefault="00000000">
      <w:pPr>
        <w:pStyle w:val="Heading1"/>
      </w:pPr>
      <w:r>
        <w:t>Case Study: San Leandro RR Park</w:t>
      </w:r>
    </w:p>
    <w:p w14:paraId="759E7561" w14:textId="77777777" w:rsidR="00000000" w:rsidRDefault="00000000">
      <w:pPr>
        <w:pStyle w:val="BodyText"/>
      </w:pPr>
      <w:r>
        <w:t>The 53-acre Davis Street Transfer Station owned and operated by Waste Management (WM) in San Leandro is growing. Throughout the 1990s, WM has been adding additional reuse, recycling, and composting services to its basic waste processing functions. WM has stated that it is their goal to transform this facility into the most innovative and largest recycling park in the United States.</w:t>
      </w:r>
    </w:p>
    <w:p w14:paraId="5B09F72F" w14:textId="77777777" w:rsidR="00000000" w:rsidRDefault="00000000">
      <w:pPr>
        <w:pStyle w:val="BodyText"/>
      </w:pPr>
      <w:r>
        <w:t>See Table 2 for a list of the materials the Davis Street Transfer Station recycled in 1999:</w:t>
      </w:r>
    </w:p>
    <w:p w14:paraId="285CA41C" w14:textId="77777777" w:rsidR="00000000" w:rsidRDefault="00000000">
      <w:pPr>
        <w:pStyle w:val="BodyText"/>
      </w:pPr>
      <w:r>
        <w:t>WM also recovered 934 tons from a buyback center and salvaged 40 tons of reusables at this site.</w:t>
      </w:r>
    </w:p>
    <w:p w14:paraId="05109E71" w14:textId="77777777" w:rsidR="00000000" w:rsidRDefault="00000000">
      <w:pPr>
        <w:pStyle w:val="BodyText"/>
      </w:pPr>
      <w:r>
        <w:t>WM has a 4.5-acre integrated yard and wood waste processing system on site. This facility runs at 40 to 70 tons per hour. Three-quarters of the materials it processes are from curbside collection programs in the area. The other materials received are delivered directly by the public (13 percent), brought in rolloffs (6 percent), or salvaged from the wood in the Davis Street Transfer Station’s public disposal area (5 percent). Materials are pre-screened (through Lubo starscreens and BHS Debris Roll Screens), contaminants are hand-sorted out; then materials are ground in a 500 hp electric stationary horizontal hammer mill with a spiked roll drum.</w:t>
      </w:r>
    </w:p>
    <w:p w14:paraId="699B077A" w14:textId="77777777" w:rsidR="00000000" w:rsidRDefault="00000000">
      <w:pPr>
        <w:pStyle w:val="BodyText"/>
      </w:pPr>
      <w:r>
        <w:t>The facility has multiple “waterfalls” in its conveyors and belt and chute magnets to remove all metal contaminants. Equipment manufacturers used were Bulk Handling Systems, Processing and Recycling Machinery, Ptarmigan Equipment/</w:t>
      </w:r>
      <w:r>
        <w:br/>
        <w:t>Krause, and Lubo USA. End markets for yard trimmings and wood waste are direct land application and/or on-farm composting agricultural uses (33 percent), alternative daily cover (28 percent), biomass fuel (22 percent), and compost products (17 percent).</w:t>
      </w:r>
    </w:p>
    <w:p w14:paraId="7B7AB686" w14:textId="77777777" w:rsidR="00000000" w:rsidRDefault="00000000">
      <w:pPr>
        <w:pStyle w:val="BodyText"/>
      </w:pPr>
      <w:r>
        <w:lastRenderedPageBreak/>
        <w:t>WM has also been working with a number of other partners to increase the diversity of reuse, recycling, and composting activities in this area.</w:t>
      </w:r>
    </w:p>
    <w:p w14:paraId="2DB91F67" w14:textId="77777777" w:rsidR="00000000" w:rsidRDefault="00000000">
      <w:pPr>
        <w:pStyle w:val="BodyText"/>
      </w:pPr>
      <w:r>
        <w:t>In May 1998, WM opened Northern California’s first tire recycling and crumb rubber facility. Bay Area Tire Recycling operates this facility under contract with WM. This is a 2,700-square foot facility on a 0.75-acre site that will be able to process 600,000 tires each year into “steel-free” ground rubber.</w:t>
      </w:r>
    </w:p>
    <w:p w14:paraId="31F67B79" w14:textId="77777777" w:rsidR="00000000" w:rsidRDefault="00000000">
      <w:pPr>
        <w:pStyle w:val="BodyText"/>
      </w:pPr>
      <w:r>
        <w:t>The facility is capable of processing passenger and light truck tires at the rate of more than 3,000 pounds per hour. The resulting ground rubber product will be used to manufacture a wide range of consumer, commercial, industrial, and farm products, including mats, fence posts, playground safety surfaces, athletic surfaces, mudflaps, roofing materials, bedliners and rubberized asphalt. This facility is partially funded by a $150,000 grant from the Alameda County Source Reduction and Recycling Board. Link Recycling Technology of Brisbane, Australia, provides patented machinery.</w:t>
      </w:r>
    </w:p>
    <w:p w14:paraId="57EBAE9E" w14:textId="5EA4A707" w:rsidR="00000000" w:rsidRDefault="00711CDE">
      <w:pPr>
        <w:pStyle w:val="BodyText"/>
      </w:pPr>
      <w:r>
        <w:rPr>
          <w:noProof/>
          <w:sz w:val="20"/>
        </w:rPr>
        <mc:AlternateContent>
          <mc:Choice Requires="wps">
            <w:drawing>
              <wp:anchor distT="0" distB="0" distL="114300" distR="114300" simplePos="0" relativeHeight="251658240" behindDoc="1" locked="0" layoutInCell="1" allowOverlap="1" wp14:anchorId="02794DE4" wp14:editId="76380855">
                <wp:simplePos x="0" y="0"/>
                <wp:positionH relativeFrom="column">
                  <wp:align>left</wp:align>
                </wp:positionH>
                <wp:positionV relativeFrom="page">
                  <wp:posOffset>914400</wp:posOffset>
                </wp:positionV>
                <wp:extent cx="2857500" cy="3888740"/>
                <wp:effectExtent l="0" t="0" r="0" b="0"/>
                <wp:wrapSquare wrapText="bothSides"/>
                <wp:docPr id="1533076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8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4FAAD" w14:textId="77777777" w:rsidR="00000000" w:rsidRDefault="00000000">
                            <w:pPr>
                              <w:pStyle w:val="TableTitle"/>
                            </w:pPr>
                            <w:r>
                              <w:t>Table 2—Davis Street Transfer Station Recycled Materials, 1999</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066"/>
                            </w:tblGrid>
                            <w:tr w:rsidR="00000000" w14:paraId="2B5F112A" w14:textId="77777777">
                              <w:tblPrEx>
                                <w:tblCellMar>
                                  <w:top w:w="0" w:type="dxa"/>
                                  <w:bottom w:w="0" w:type="dxa"/>
                                </w:tblCellMar>
                              </w:tblPrEx>
                              <w:tc>
                                <w:tcPr>
                                  <w:tcW w:w="2106" w:type="dxa"/>
                                </w:tcPr>
                                <w:p w14:paraId="3871856E" w14:textId="77777777" w:rsidR="00000000" w:rsidRDefault="00000000">
                                  <w:pPr>
                                    <w:pStyle w:val="TableHeading"/>
                                  </w:pPr>
                                  <w:r>
                                    <w:t>Material</w:t>
                                  </w:r>
                                  <w:r>
                                    <w:tab/>
                                  </w:r>
                                  <w:r>
                                    <w:tab/>
                                  </w:r>
                                </w:p>
                              </w:tc>
                              <w:tc>
                                <w:tcPr>
                                  <w:tcW w:w="2106" w:type="dxa"/>
                                </w:tcPr>
                                <w:p w14:paraId="7618AAD8" w14:textId="77777777" w:rsidR="00000000" w:rsidRDefault="00000000">
                                  <w:pPr>
                                    <w:pStyle w:val="TableHeading"/>
                                  </w:pPr>
                                  <w:r>
                                    <w:t>1999 Tonnage</w:t>
                                  </w:r>
                                </w:p>
                              </w:tc>
                            </w:tr>
                            <w:tr w:rsidR="00000000" w14:paraId="539E6523" w14:textId="77777777">
                              <w:tblPrEx>
                                <w:tblCellMar>
                                  <w:top w:w="0" w:type="dxa"/>
                                  <w:bottom w:w="0" w:type="dxa"/>
                                </w:tblCellMar>
                              </w:tblPrEx>
                              <w:tc>
                                <w:tcPr>
                                  <w:tcW w:w="2106" w:type="dxa"/>
                                </w:tcPr>
                                <w:p w14:paraId="792232EC" w14:textId="77777777" w:rsidR="00000000" w:rsidRDefault="00000000">
                                  <w:pPr>
                                    <w:pStyle w:val="TableText"/>
                                  </w:pPr>
                                  <w:r>
                                    <w:t>Wood/green waste</w:t>
                                  </w:r>
                                </w:p>
                              </w:tc>
                              <w:tc>
                                <w:tcPr>
                                  <w:tcW w:w="2106" w:type="dxa"/>
                                </w:tcPr>
                                <w:p w14:paraId="3008908E" w14:textId="77777777" w:rsidR="00000000" w:rsidRDefault="00000000">
                                  <w:pPr>
                                    <w:pStyle w:val="TableText"/>
                                    <w:rPr>
                                      <w:lang w:val="fr-FR"/>
                                    </w:rPr>
                                  </w:pPr>
                                  <w:r>
                                    <w:rPr>
                                      <w:lang w:val="fr-FR"/>
                                    </w:rPr>
                                    <w:t>119,505 tons</w:t>
                                  </w:r>
                                </w:p>
                              </w:tc>
                            </w:tr>
                            <w:tr w:rsidR="00000000" w14:paraId="3CD6398D" w14:textId="77777777">
                              <w:tblPrEx>
                                <w:tblCellMar>
                                  <w:top w:w="0" w:type="dxa"/>
                                  <w:bottom w:w="0" w:type="dxa"/>
                                </w:tblCellMar>
                              </w:tblPrEx>
                              <w:tc>
                                <w:tcPr>
                                  <w:tcW w:w="2106" w:type="dxa"/>
                                </w:tcPr>
                                <w:p w14:paraId="7E9AC97A" w14:textId="77777777" w:rsidR="00000000" w:rsidRDefault="00000000">
                                  <w:pPr>
                                    <w:pStyle w:val="TableText"/>
                                    <w:rPr>
                                      <w:lang w:val="fr-FR"/>
                                    </w:rPr>
                                  </w:pPr>
                                  <w:r>
                                    <w:rPr>
                                      <w:lang w:val="fr-FR"/>
                                    </w:rPr>
                                    <w:t>Curbside recyclables</w:t>
                                  </w:r>
                                </w:p>
                              </w:tc>
                              <w:tc>
                                <w:tcPr>
                                  <w:tcW w:w="2106" w:type="dxa"/>
                                </w:tcPr>
                                <w:p w14:paraId="13303E64" w14:textId="77777777" w:rsidR="00000000" w:rsidRDefault="00000000">
                                  <w:pPr>
                                    <w:pStyle w:val="TableText"/>
                                    <w:rPr>
                                      <w:lang w:val="fr-FR"/>
                                    </w:rPr>
                                  </w:pPr>
                                  <w:r>
                                    <w:rPr>
                                      <w:lang w:val="fr-FR"/>
                                    </w:rPr>
                                    <w:t>84,532 tons</w:t>
                                  </w:r>
                                </w:p>
                              </w:tc>
                            </w:tr>
                            <w:tr w:rsidR="00000000" w14:paraId="0616E2C4" w14:textId="77777777">
                              <w:tblPrEx>
                                <w:tblCellMar>
                                  <w:top w:w="0" w:type="dxa"/>
                                  <w:bottom w:w="0" w:type="dxa"/>
                                </w:tblCellMar>
                              </w:tblPrEx>
                              <w:tc>
                                <w:tcPr>
                                  <w:tcW w:w="2106" w:type="dxa"/>
                                </w:tcPr>
                                <w:p w14:paraId="016AAB0C" w14:textId="77777777" w:rsidR="00000000" w:rsidRDefault="00000000">
                                  <w:pPr>
                                    <w:pStyle w:val="TableText"/>
                                    <w:rPr>
                                      <w:lang w:val="fr-FR"/>
                                    </w:rPr>
                                  </w:pPr>
                                  <w:r>
                                    <w:rPr>
                                      <w:lang w:val="fr-FR"/>
                                    </w:rPr>
                                    <w:t>Dirt*</w:t>
                                  </w:r>
                                </w:p>
                              </w:tc>
                              <w:tc>
                                <w:tcPr>
                                  <w:tcW w:w="2106" w:type="dxa"/>
                                </w:tcPr>
                                <w:p w14:paraId="74309025" w14:textId="77777777" w:rsidR="00000000" w:rsidRDefault="00000000">
                                  <w:pPr>
                                    <w:pStyle w:val="TableText"/>
                                    <w:rPr>
                                      <w:lang w:val="fr-FR"/>
                                    </w:rPr>
                                  </w:pPr>
                                  <w:r>
                                    <w:rPr>
                                      <w:lang w:val="fr-FR"/>
                                    </w:rPr>
                                    <w:t>15,881 tons</w:t>
                                  </w:r>
                                </w:p>
                              </w:tc>
                            </w:tr>
                            <w:tr w:rsidR="00000000" w14:paraId="24E4E440" w14:textId="77777777">
                              <w:tblPrEx>
                                <w:tblCellMar>
                                  <w:top w:w="0" w:type="dxa"/>
                                  <w:bottom w:w="0" w:type="dxa"/>
                                </w:tblCellMar>
                              </w:tblPrEx>
                              <w:tc>
                                <w:tcPr>
                                  <w:tcW w:w="2106" w:type="dxa"/>
                                </w:tcPr>
                                <w:p w14:paraId="370639DE" w14:textId="77777777" w:rsidR="00000000" w:rsidRDefault="00000000">
                                  <w:pPr>
                                    <w:pStyle w:val="TableText"/>
                                    <w:rPr>
                                      <w:lang w:val="fr-FR"/>
                                    </w:rPr>
                                  </w:pPr>
                                  <w:r>
                                    <w:rPr>
                                      <w:lang w:val="fr-FR"/>
                                    </w:rPr>
                                    <w:t xml:space="preserve">Concrete* </w:t>
                                  </w:r>
                                </w:p>
                              </w:tc>
                              <w:tc>
                                <w:tcPr>
                                  <w:tcW w:w="2106" w:type="dxa"/>
                                </w:tcPr>
                                <w:p w14:paraId="04E6CA20" w14:textId="77777777" w:rsidR="00000000" w:rsidRDefault="00000000">
                                  <w:pPr>
                                    <w:pStyle w:val="TableText"/>
                                    <w:rPr>
                                      <w:lang w:val="fr-FR"/>
                                    </w:rPr>
                                  </w:pPr>
                                  <w:r>
                                    <w:rPr>
                                      <w:lang w:val="fr-FR"/>
                                    </w:rPr>
                                    <w:t>7,275 tons</w:t>
                                  </w:r>
                                </w:p>
                              </w:tc>
                            </w:tr>
                            <w:tr w:rsidR="00000000" w14:paraId="297519B3" w14:textId="77777777">
                              <w:tblPrEx>
                                <w:tblCellMar>
                                  <w:top w:w="0" w:type="dxa"/>
                                  <w:bottom w:w="0" w:type="dxa"/>
                                </w:tblCellMar>
                              </w:tblPrEx>
                              <w:tc>
                                <w:tcPr>
                                  <w:tcW w:w="2106" w:type="dxa"/>
                                </w:tcPr>
                                <w:p w14:paraId="7C152EAF" w14:textId="77777777" w:rsidR="00000000" w:rsidRDefault="00000000">
                                  <w:pPr>
                                    <w:pStyle w:val="TableText"/>
                                    <w:rPr>
                                      <w:lang w:val="fr-FR"/>
                                    </w:rPr>
                                  </w:pPr>
                                  <w:r>
                                    <w:rPr>
                                      <w:lang w:val="fr-FR"/>
                                    </w:rPr>
                                    <w:t>Paper**</w:t>
                                  </w:r>
                                </w:p>
                              </w:tc>
                              <w:tc>
                                <w:tcPr>
                                  <w:tcW w:w="2106" w:type="dxa"/>
                                </w:tcPr>
                                <w:p w14:paraId="53ACDBB2" w14:textId="77777777" w:rsidR="00000000" w:rsidRDefault="00000000">
                                  <w:pPr>
                                    <w:pStyle w:val="TableText"/>
                                    <w:rPr>
                                      <w:lang w:val="fr-FR"/>
                                    </w:rPr>
                                  </w:pPr>
                                  <w:r>
                                    <w:rPr>
                                      <w:lang w:val="fr-FR"/>
                                    </w:rPr>
                                    <w:t>3,706 tons</w:t>
                                  </w:r>
                                </w:p>
                              </w:tc>
                            </w:tr>
                            <w:tr w:rsidR="00000000" w14:paraId="1C47FA7A" w14:textId="77777777">
                              <w:tblPrEx>
                                <w:tblCellMar>
                                  <w:top w:w="0" w:type="dxa"/>
                                  <w:bottom w:w="0" w:type="dxa"/>
                                </w:tblCellMar>
                              </w:tblPrEx>
                              <w:tc>
                                <w:tcPr>
                                  <w:tcW w:w="2106" w:type="dxa"/>
                                </w:tcPr>
                                <w:p w14:paraId="0C67C04C" w14:textId="77777777" w:rsidR="00000000" w:rsidRDefault="00000000">
                                  <w:pPr>
                                    <w:pStyle w:val="TableText"/>
                                    <w:rPr>
                                      <w:lang w:val="fr-FR"/>
                                    </w:rPr>
                                  </w:pPr>
                                  <w:r>
                                    <w:rPr>
                                      <w:lang w:val="fr-FR"/>
                                    </w:rPr>
                                    <w:t xml:space="preserve">Appliances </w:t>
                                  </w:r>
                                </w:p>
                              </w:tc>
                              <w:tc>
                                <w:tcPr>
                                  <w:tcW w:w="2106" w:type="dxa"/>
                                </w:tcPr>
                                <w:p w14:paraId="0348D60A" w14:textId="77777777" w:rsidR="00000000" w:rsidRDefault="00000000">
                                  <w:pPr>
                                    <w:pStyle w:val="TableText"/>
                                    <w:rPr>
                                      <w:lang w:val="fr-FR"/>
                                    </w:rPr>
                                  </w:pPr>
                                  <w:r>
                                    <w:rPr>
                                      <w:lang w:val="fr-FR"/>
                                    </w:rPr>
                                    <w:t xml:space="preserve">(20,489 units) </w:t>
                                  </w:r>
                                  <w:r>
                                    <w:rPr>
                                      <w:lang w:val="fr-FR"/>
                                    </w:rPr>
                                    <w:br/>
                                    <w:t>1,998 tons</w:t>
                                  </w:r>
                                </w:p>
                              </w:tc>
                            </w:tr>
                            <w:tr w:rsidR="00000000" w14:paraId="41BC72CA" w14:textId="77777777">
                              <w:tblPrEx>
                                <w:tblCellMar>
                                  <w:top w:w="0" w:type="dxa"/>
                                  <w:bottom w:w="0" w:type="dxa"/>
                                </w:tblCellMar>
                              </w:tblPrEx>
                              <w:tc>
                                <w:tcPr>
                                  <w:tcW w:w="2106" w:type="dxa"/>
                                </w:tcPr>
                                <w:p w14:paraId="1060E0AF" w14:textId="77777777" w:rsidR="00000000" w:rsidRDefault="00000000">
                                  <w:pPr>
                                    <w:pStyle w:val="TableText"/>
                                    <w:rPr>
                                      <w:lang w:val="fr-FR"/>
                                    </w:rPr>
                                  </w:pPr>
                                  <w:r>
                                    <w:rPr>
                                      <w:lang w:val="fr-FR"/>
                                    </w:rPr>
                                    <w:t>Scrap metal</w:t>
                                  </w:r>
                                </w:p>
                              </w:tc>
                              <w:tc>
                                <w:tcPr>
                                  <w:tcW w:w="2106" w:type="dxa"/>
                                </w:tcPr>
                                <w:p w14:paraId="6F985331" w14:textId="77777777" w:rsidR="00000000" w:rsidRDefault="00000000">
                                  <w:pPr>
                                    <w:pStyle w:val="TableText"/>
                                    <w:rPr>
                                      <w:lang w:val="fr-FR"/>
                                    </w:rPr>
                                  </w:pPr>
                                  <w:r>
                                    <w:rPr>
                                      <w:lang w:val="fr-FR"/>
                                    </w:rPr>
                                    <w:t>1,690 tons</w:t>
                                  </w:r>
                                </w:p>
                              </w:tc>
                            </w:tr>
                            <w:tr w:rsidR="00000000" w14:paraId="02506DB9" w14:textId="77777777">
                              <w:tblPrEx>
                                <w:tblCellMar>
                                  <w:top w:w="0" w:type="dxa"/>
                                  <w:bottom w:w="0" w:type="dxa"/>
                                </w:tblCellMar>
                              </w:tblPrEx>
                              <w:tc>
                                <w:tcPr>
                                  <w:tcW w:w="2106" w:type="dxa"/>
                                </w:tcPr>
                                <w:p w14:paraId="758C901D" w14:textId="77777777" w:rsidR="00000000" w:rsidRDefault="00000000">
                                  <w:pPr>
                                    <w:pStyle w:val="TableText"/>
                                    <w:rPr>
                                      <w:lang w:val="fr-FR"/>
                                    </w:rPr>
                                  </w:pPr>
                                  <w:r>
                                    <w:rPr>
                                      <w:lang w:val="fr-FR"/>
                                    </w:rPr>
                                    <w:t>Tires</w:t>
                                  </w:r>
                                </w:p>
                              </w:tc>
                              <w:tc>
                                <w:tcPr>
                                  <w:tcW w:w="2106" w:type="dxa"/>
                                </w:tcPr>
                                <w:p w14:paraId="2C81957B" w14:textId="77777777" w:rsidR="00000000" w:rsidRDefault="00000000">
                                  <w:pPr>
                                    <w:pStyle w:val="TableText"/>
                                    <w:rPr>
                                      <w:lang w:val="fr-FR"/>
                                    </w:rPr>
                                  </w:pPr>
                                  <w:r>
                                    <w:rPr>
                                      <w:lang w:val="fr-FR"/>
                                    </w:rPr>
                                    <w:t>1,554 tons</w:t>
                                  </w:r>
                                </w:p>
                              </w:tc>
                            </w:tr>
                            <w:tr w:rsidR="00000000" w14:paraId="2E539D94" w14:textId="77777777">
                              <w:tblPrEx>
                                <w:tblCellMar>
                                  <w:top w:w="0" w:type="dxa"/>
                                  <w:bottom w:w="0" w:type="dxa"/>
                                </w:tblCellMar>
                              </w:tblPrEx>
                              <w:trPr>
                                <w:trHeight w:val="188"/>
                              </w:trPr>
                              <w:tc>
                                <w:tcPr>
                                  <w:tcW w:w="2106" w:type="dxa"/>
                                </w:tcPr>
                                <w:p w14:paraId="628E041C" w14:textId="77777777" w:rsidR="00000000" w:rsidRDefault="00000000">
                                  <w:pPr>
                                    <w:pStyle w:val="TableText"/>
                                  </w:pPr>
                                  <w:r>
                                    <w:t>Total</w:t>
                                  </w:r>
                                </w:p>
                              </w:tc>
                              <w:tc>
                                <w:tcPr>
                                  <w:tcW w:w="2106" w:type="dxa"/>
                                </w:tcPr>
                                <w:p w14:paraId="7D407EF6" w14:textId="77777777" w:rsidR="00000000" w:rsidRDefault="00000000">
                                  <w:pPr>
                                    <w:pStyle w:val="TableText"/>
                                  </w:pPr>
                                  <w:r>
                                    <w:t>236,141 tons</w:t>
                                  </w:r>
                                </w:p>
                              </w:tc>
                            </w:tr>
                          </w:tbl>
                          <w:p w14:paraId="58D0F421" w14:textId="77777777" w:rsidR="00000000" w:rsidRDefault="00000000">
                            <w:pPr>
                              <w:pStyle w:val="BodyText"/>
                              <w:rPr>
                                <w:sz w:val="18"/>
                              </w:rPr>
                            </w:pPr>
                            <w:r>
                              <w:rPr>
                                <w:sz w:val="18"/>
                              </w:rPr>
                              <w:t>* Tonnage recovered using a portable C&amp;D screening system</w:t>
                            </w:r>
                          </w:p>
                          <w:p w14:paraId="63328D1F" w14:textId="77777777" w:rsidR="00000000" w:rsidRDefault="00000000">
                            <w:pPr>
                              <w:pStyle w:val="BodyText"/>
                              <w:rPr>
                                <w:sz w:val="18"/>
                              </w:rPr>
                            </w:pPr>
                            <w:r>
                              <w:rPr>
                                <w:sz w:val="18"/>
                              </w:rPr>
                              <w:t>** Tonnage recovered using a sort line for dry waste (rolloff loads)</w:t>
                            </w:r>
                          </w:p>
                        </w:txbxContent>
                      </wps:txbx>
                      <wps:bodyPr rot="0" vert="horz" wrap="square" lIns="4572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4DE4" id="Text Box 3" o:spid="_x0000_s1027" type="#_x0000_t202" style="position:absolute;margin-left:0;margin-top:1in;width:225pt;height:306.2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" stroked="f">
                <v:textbox inset="3.6pt,0">
                  <w:txbxContent>
                    <w:p w14:paraId="31E4FAAD" w14:textId="77777777" w:rsidR="00000000" w:rsidRDefault="00000000">
                      <w:pPr>
                        <w:pStyle w:val="TableTitle"/>
                      </w:pPr>
                      <w:r>
                        <w:t>Table 2—Davis Street Transfer Station Recycled Materials, 1999</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066"/>
                      </w:tblGrid>
                      <w:tr w:rsidR="00000000" w14:paraId="2B5F112A" w14:textId="77777777">
                        <w:tblPrEx>
                          <w:tblCellMar>
                            <w:top w:w="0" w:type="dxa"/>
                            <w:bottom w:w="0" w:type="dxa"/>
                          </w:tblCellMar>
                        </w:tblPrEx>
                        <w:tc>
                          <w:tcPr>
                            <w:tcW w:w="2106" w:type="dxa"/>
                          </w:tcPr>
                          <w:p w14:paraId="3871856E" w14:textId="77777777" w:rsidR="00000000" w:rsidRDefault="00000000">
                            <w:pPr>
                              <w:pStyle w:val="TableHeading"/>
                            </w:pPr>
                            <w:r>
                              <w:t>Material</w:t>
                            </w:r>
                            <w:r>
                              <w:tab/>
                            </w:r>
                            <w:r>
                              <w:tab/>
                            </w:r>
                          </w:p>
                        </w:tc>
                        <w:tc>
                          <w:tcPr>
                            <w:tcW w:w="2106" w:type="dxa"/>
                          </w:tcPr>
                          <w:p w14:paraId="7618AAD8" w14:textId="77777777" w:rsidR="00000000" w:rsidRDefault="00000000">
                            <w:pPr>
                              <w:pStyle w:val="TableHeading"/>
                            </w:pPr>
                            <w:r>
                              <w:t>1999 Tonnage</w:t>
                            </w:r>
                          </w:p>
                        </w:tc>
                      </w:tr>
                      <w:tr w:rsidR="00000000" w14:paraId="539E6523" w14:textId="77777777">
                        <w:tblPrEx>
                          <w:tblCellMar>
                            <w:top w:w="0" w:type="dxa"/>
                            <w:bottom w:w="0" w:type="dxa"/>
                          </w:tblCellMar>
                        </w:tblPrEx>
                        <w:tc>
                          <w:tcPr>
                            <w:tcW w:w="2106" w:type="dxa"/>
                          </w:tcPr>
                          <w:p w14:paraId="792232EC" w14:textId="77777777" w:rsidR="00000000" w:rsidRDefault="00000000">
                            <w:pPr>
                              <w:pStyle w:val="TableText"/>
                            </w:pPr>
                            <w:r>
                              <w:t>Wood/green waste</w:t>
                            </w:r>
                          </w:p>
                        </w:tc>
                        <w:tc>
                          <w:tcPr>
                            <w:tcW w:w="2106" w:type="dxa"/>
                          </w:tcPr>
                          <w:p w14:paraId="3008908E" w14:textId="77777777" w:rsidR="00000000" w:rsidRDefault="00000000">
                            <w:pPr>
                              <w:pStyle w:val="TableText"/>
                              <w:rPr>
                                <w:lang w:val="fr-FR"/>
                              </w:rPr>
                            </w:pPr>
                            <w:r>
                              <w:rPr>
                                <w:lang w:val="fr-FR"/>
                              </w:rPr>
                              <w:t>119,505 tons</w:t>
                            </w:r>
                          </w:p>
                        </w:tc>
                      </w:tr>
                      <w:tr w:rsidR="00000000" w14:paraId="3CD6398D" w14:textId="77777777">
                        <w:tblPrEx>
                          <w:tblCellMar>
                            <w:top w:w="0" w:type="dxa"/>
                            <w:bottom w:w="0" w:type="dxa"/>
                          </w:tblCellMar>
                        </w:tblPrEx>
                        <w:tc>
                          <w:tcPr>
                            <w:tcW w:w="2106" w:type="dxa"/>
                          </w:tcPr>
                          <w:p w14:paraId="7E9AC97A" w14:textId="77777777" w:rsidR="00000000" w:rsidRDefault="00000000">
                            <w:pPr>
                              <w:pStyle w:val="TableText"/>
                              <w:rPr>
                                <w:lang w:val="fr-FR"/>
                              </w:rPr>
                            </w:pPr>
                            <w:r>
                              <w:rPr>
                                <w:lang w:val="fr-FR"/>
                              </w:rPr>
                              <w:t>Curbside recyclables</w:t>
                            </w:r>
                          </w:p>
                        </w:tc>
                        <w:tc>
                          <w:tcPr>
                            <w:tcW w:w="2106" w:type="dxa"/>
                          </w:tcPr>
                          <w:p w14:paraId="13303E64" w14:textId="77777777" w:rsidR="00000000" w:rsidRDefault="00000000">
                            <w:pPr>
                              <w:pStyle w:val="TableText"/>
                              <w:rPr>
                                <w:lang w:val="fr-FR"/>
                              </w:rPr>
                            </w:pPr>
                            <w:r>
                              <w:rPr>
                                <w:lang w:val="fr-FR"/>
                              </w:rPr>
                              <w:t>84,532 tons</w:t>
                            </w:r>
                          </w:p>
                        </w:tc>
                      </w:tr>
                      <w:tr w:rsidR="00000000" w14:paraId="0616E2C4" w14:textId="77777777">
                        <w:tblPrEx>
                          <w:tblCellMar>
                            <w:top w:w="0" w:type="dxa"/>
                            <w:bottom w:w="0" w:type="dxa"/>
                          </w:tblCellMar>
                        </w:tblPrEx>
                        <w:tc>
                          <w:tcPr>
                            <w:tcW w:w="2106" w:type="dxa"/>
                          </w:tcPr>
                          <w:p w14:paraId="016AAB0C" w14:textId="77777777" w:rsidR="00000000" w:rsidRDefault="00000000">
                            <w:pPr>
                              <w:pStyle w:val="TableText"/>
                              <w:rPr>
                                <w:lang w:val="fr-FR"/>
                              </w:rPr>
                            </w:pPr>
                            <w:r>
                              <w:rPr>
                                <w:lang w:val="fr-FR"/>
                              </w:rPr>
                              <w:t>Dirt*</w:t>
                            </w:r>
                          </w:p>
                        </w:tc>
                        <w:tc>
                          <w:tcPr>
                            <w:tcW w:w="2106" w:type="dxa"/>
                          </w:tcPr>
                          <w:p w14:paraId="74309025" w14:textId="77777777" w:rsidR="00000000" w:rsidRDefault="00000000">
                            <w:pPr>
                              <w:pStyle w:val="TableText"/>
                              <w:rPr>
                                <w:lang w:val="fr-FR"/>
                              </w:rPr>
                            </w:pPr>
                            <w:r>
                              <w:rPr>
                                <w:lang w:val="fr-FR"/>
                              </w:rPr>
                              <w:t>15,881 tons</w:t>
                            </w:r>
                          </w:p>
                        </w:tc>
                      </w:tr>
                      <w:tr w:rsidR="00000000" w14:paraId="24E4E440" w14:textId="77777777">
                        <w:tblPrEx>
                          <w:tblCellMar>
                            <w:top w:w="0" w:type="dxa"/>
                            <w:bottom w:w="0" w:type="dxa"/>
                          </w:tblCellMar>
                        </w:tblPrEx>
                        <w:tc>
                          <w:tcPr>
                            <w:tcW w:w="2106" w:type="dxa"/>
                          </w:tcPr>
                          <w:p w14:paraId="370639DE" w14:textId="77777777" w:rsidR="00000000" w:rsidRDefault="00000000">
                            <w:pPr>
                              <w:pStyle w:val="TableText"/>
                              <w:rPr>
                                <w:lang w:val="fr-FR"/>
                              </w:rPr>
                            </w:pPr>
                            <w:r>
                              <w:rPr>
                                <w:lang w:val="fr-FR"/>
                              </w:rPr>
                              <w:t xml:space="preserve">Concrete* </w:t>
                            </w:r>
                          </w:p>
                        </w:tc>
                        <w:tc>
                          <w:tcPr>
                            <w:tcW w:w="2106" w:type="dxa"/>
                          </w:tcPr>
                          <w:p w14:paraId="04E6CA20" w14:textId="77777777" w:rsidR="00000000" w:rsidRDefault="00000000">
                            <w:pPr>
                              <w:pStyle w:val="TableText"/>
                              <w:rPr>
                                <w:lang w:val="fr-FR"/>
                              </w:rPr>
                            </w:pPr>
                            <w:r>
                              <w:rPr>
                                <w:lang w:val="fr-FR"/>
                              </w:rPr>
                              <w:t>7,275 tons</w:t>
                            </w:r>
                          </w:p>
                        </w:tc>
                      </w:tr>
                      <w:tr w:rsidR="00000000" w14:paraId="297519B3" w14:textId="77777777">
                        <w:tblPrEx>
                          <w:tblCellMar>
                            <w:top w:w="0" w:type="dxa"/>
                            <w:bottom w:w="0" w:type="dxa"/>
                          </w:tblCellMar>
                        </w:tblPrEx>
                        <w:tc>
                          <w:tcPr>
                            <w:tcW w:w="2106" w:type="dxa"/>
                          </w:tcPr>
                          <w:p w14:paraId="7C152EAF" w14:textId="77777777" w:rsidR="00000000" w:rsidRDefault="00000000">
                            <w:pPr>
                              <w:pStyle w:val="TableText"/>
                              <w:rPr>
                                <w:lang w:val="fr-FR"/>
                              </w:rPr>
                            </w:pPr>
                            <w:r>
                              <w:rPr>
                                <w:lang w:val="fr-FR"/>
                              </w:rPr>
                              <w:t>Paper**</w:t>
                            </w:r>
                          </w:p>
                        </w:tc>
                        <w:tc>
                          <w:tcPr>
                            <w:tcW w:w="2106" w:type="dxa"/>
                          </w:tcPr>
                          <w:p w14:paraId="53ACDBB2" w14:textId="77777777" w:rsidR="00000000" w:rsidRDefault="00000000">
                            <w:pPr>
                              <w:pStyle w:val="TableText"/>
                              <w:rPr>
                                <w:lang w:val="fr-FR"/>
                              </w:rPr>
                            </w:pPr>
                            <w:r>
                              <w:rPr>
                                <w:lang w:val="fr-FR"/>
                              </w:rPr>
                              <w:t>3,706 tons</w:t>
                            </w:r>
                          </w:p>
                        </w:tc>
                      </w:tr>
                      <w:tr w:rsidR="00000000" w14:paraId="1C47FA7A" w14:textId="77777777">
                        <w:tblPrEx>
                          <w:tblCellMar>
                            <w:top w:w="0" w:type="dxa"/>
                            <w:bottom w:w="0" w:type="dxa"/>
                          </w:tblCellMar>
                        </w:tblPrEx>
                        <w:tc>
                          <w:tcPr>
                            <w:tcW w:w="2106" w:type="dxa"/>
                          </w:tcPr>
                          <w:p w14:paraId="0C67C04C" w14:textId="77777777" w:rsidR="00000000" w:rsidRDefault="00000000">
                            <w:pPr>
                              <w:pStyle w:val="TableText"/>
                              <w:rPr>
                                <w:lang w:val="fr-FR"/>
                              </w:rPr>
                            </w:pPr>
                            <w:r>
                              <w:rPr>
                                <w:lang w:val="fr-FR"/>
                              </w:rPr>
                              <w:t xml:space="preserve">Appliances </w:t>
                            </w:r>
                          </w:p>
                        </w:tc>
                        <w:tc>
                          <w:tcPr>
                            <w:tcW w:w="2106" w:type="dxa"/>
                          </w:tcPr>
                          <w:p w14:paraId="0348D60A" w14:textId="77777777" w:rsidR="00000000" w:rsidRDefault="00000000">
                            <w:pPr>
                              <w:pStyle w:val="TableText"/>
                              <w:rPr>
                                <w:lang w:val="fr-FR"/>
                              </w:rPr>
                            </w:pPr>
                            <w:r>
                              <w:rPr>
                                <w:lang w:val="fr-FR"/>
                              </w:rPr>
                              <w:t xml:space="preserve">(20,489 units) </w:t>
                            </w:r>
                            <w:r>
                              <w:rPr>
                                <w:lang w:val="fr-FR"/>
                              </w:rPr>
                              <w:br/>
                              <w:t>1,998 tons</w:t>
                            </w:r>
                          </w:p>
                        </w:tc>
                      </w:tr>
                      <w:tr w:rsidR="00000000" w14:paraId="41BC72CA" w14:textId="77777777">
                        <w:tblPrEx>
                          <w:tblCellMar>
                            <w:top w:w="0" w:type="dxa"/>
                            <w:bottom w:w="0" w:type="dxa"/>
                          </w:tblCellMar>
                        </w:tblPrEx>
                        <w:tc>
                          <w:tcPr>
                            <w:tcW w:w="2106" w:type="dxa"/>
                          </w:tcPr>
                          <w:p w14:paraId="1060E0AF" w14:textId="77777777" w:rsidR="00000000" w:rsidRDefault="00000000">
                            <w:pPr>
                              <w:pStyle w:val="TableText"/>
                              <w:rPr>
                                <w:lang w:val="fr-FR"/>
                              </w:rPr>
                            </w:pPr>
                            <w:r>
                              <w:rPr>
                                <w:lang w:val="fr-FR"/>
                              </w:rPr>
                              <w:t>Scrap metal</w:t>
                            </w:r>
                          </w:p>
                        </w:tc>
                        <w:tc>
                          <w:tcPr>
                            <w:tcW w:w="2106" w:type="dxa"/>
                          </w:tcPr>
                          <w:p w14:paraId="6F985331" w14:textId="77777777" w:rsidR="00000000" w:rsidRDefault="00000000">
                            <w:pPr>
                              <w:pStyle w:val="TableText"/>
                              <w:rPr>
                                <w:lang w:val="fr-FR"/>
                              </w:rPr>
                            </w:pPr>
                            <w:r>
                              <w:rPr>
                                <w:lang w:val="fr-FR"/>
                              </w:rPr>
                              <w:t>1,690 tons</w:t>
                            </w:r>
                          </w:p>
                        </w:tc>
                      </w:tr>
                      <w:tr w:rsidR="00000000" w14:paraId="02506DB9" w14:textId="77777777">
                        <w:tblPrEx>
                          <w:tblCellMar>
                            <w:top w:w="0" w:type="dxa"/>
                            <w:bottom w:w="0" w:type="dxa"/>
                          </w:tblCellMar>
                        </w:tblPrEx>
                        <w:tc>
                          <w:tcPr>
                            <w:tcW w:w="2106" w:type="dxa"/>
                          </w:tcPr>
                          <w:p w14:paraId="758C901D" w14:textId="77777777" w:rsidR="00000000" w:rsidRDefault="00000000">
                            <w:pPr>
                              <w:pStyle w:val="TableText"/>
                              <w:rPr>
                                <w:lang w:val="fr-FR"/>
                              </w:rPr>
                            </w:pPr>
                            <w:r>
                              <w:rPr>
                                <w:lang w:val="fr-FR"/>
                              </w:rPr>
                              <w:t>Tires</w:t>
                            </w:r>
                          </w:p>
                        </w:tc>
                        <w:tc>
                          <w:tcPr>
                            <w:tcW w:w="2106" w:type="dxa"/>
                          </w:tcPr>
                          <w:p w14:paraId="2C81957B" w14:textId="77777777" w:rsidR="00000000" w:rsidRDefault="00000000">
                            <w:pPr>
                              <w:pStyle w:val="TableText"/>
                              <w:rPr>
                                <w:lang w:val="fr-FR"/>
                              </w:rPr>
                            </w:pPr>
                            <w:r>
                              <w:rPr>
                                <w:lang w:val="fr-FR"/>
                              </w:rPr>
                              <w:t>1,554 tons</w:t>
                            </w:r>
                          </w:p>
                        </w:tc>
                      </w:tr>
                      <w:tr w:rsidR="00000000" w14:paraId="2E539D94" w14:textId="77777777">
                        <w:tblPrEx>
                          <w:tblCellMar>
                            <w:top w:w="0" w:type="dxa"/>
                            <w:bottom w:w="0" w:type="dxa"/>
                          </w:tblCellMar>
                        </w:tblPrEx>
                        <w:trPr>
                          <w:trHeight w:val="188"/>
                        </w:trPr>
                        <w:tc>
                          <w:tcPr>
                            <w:tcW w:w="2106" w:type="dxa"/>
                          </w:tcPr>
                          <w:p w14:paraId="628E041C" w14:textId="77777777" w:rsidR="00000000" w:rsidRDefault="00000000">
                            <w:pPr>
                              <w:pStyle w:val="TableText"/>
                            </w:pPr>
                            <w:r>
                              <w:t>Total</w:t>
                            </w:r>
                          </w:p>
                        </w:tc>
                        <w:tc>
                          <w:tcPr>
                            <w:tcW w:w="2106" w:type="dxa"/>
                          </w:tcPr>
                          <w:p w14:paraId="7D407EF6" w14:textId="77777777" w:rsidR="00000000" w:rsidRDefault="00000000">
                            <w:pPr>
                              <w:pStyle w:val="TableText"/>
                            </w:pPr>
                            <w:r>
                              <w:t>236,141 tons</w:t>
                            </w:r>
                          </w:p>
                        </w:tc>
                      </w:tr>
                    </w:tbl>
                    <w:p w14:paraId="58D0F421" w14:textId="77777777" w:rsidR="00000000" w:rsidRDefault="00000000">
                      <w:pPr>
                        <w:pStyle w:val="BodyText"/>
                        <w:rPr>
                          <w:sz w:val="18"/>
                        </w:rPr>
                      </w:pPr>
                      <w:r>
                        <w:rPr>
                          <w:sz w:val="18"/>
                        </w:rPr>
                        <w:t>* Tonnage recovered using a portable C&amp;D screening system</w:t>
                      </w:r>
                    </w:p>
                    <w:p w14:paraId="63328D1F" w14:textId="77777777" w:rsidR="00000000" w:rsidRDefault="00000000">
                      <w:pPr>
                        <w:pStyle w:val="BodyText"/>
                        <w:rPr>
                          <w:sz w:val="18"/>
                        </w:rPr>
                      </w:pPr>
                      <w:r>
                        <w:rPr>
                          <w:sz w:val="18"/>
                        </w:rPr>
                        <w:t>** Tonnage recovered using a sort line for dry waste (rolloff loads)</w:t>
                      </w:r>
                    </w:p>
                  </w:txbxContent>
                </v:textbox>
                <w10:wrap type="square" anchory="page"/>
              </v:shape>
            </w:pict>
          </mc:Fallback>
        </mc:AlternateContent>
      </w:r>
      <w:r w:rsidR="00000000">
        <w:t xml:space="preserve">Another innovative business that opened in July 1999 is the Building Materials Exchange Facility. This facility is operated by The Reuse People of </w:t>
      </w:r>
      <w:r w:rsidR="00000000">
        <w:t>Alameda County at the Davis Street Transfer Station. They accept a wide variety of used items/materials for reuse. These items are all placed for sale at greatly reduced prices.</w:t>
      </w:r>
    </w:p>
    <w:p w14:paraId="0796BF30" w14:textId="77777777" w:rsidR="00000000" w:rsidRDefault="00000000">
      <w:pPr>
        <w:pStyle w:val="BodyText"/>
      </w:pPr>
      <w:r>
        <w:t>The Reuse People also provide collection service, depending on the quantity and quality of items involved. Materials recycled include: bathtubs, bathroom fixtures, bicycles, bricks, building materials, cabinets, cinder blocks, clay roofing tiles, doors, garage doors, garden tools, hardware, kitchen fixtures, light fixtures, lumber, nuts, bolts, screws, plumbing supplies, reusable plywood, stoves/ovens, toilets/commodes, water heaters, windows, and screens.</w:t>
      </w:r>
    </w:p>
    <w:p w14:paraId="3D315B78" w14:textId="77777777" w:rsidR="00000000" w:rsidRDefault="00000000">
      <w:pPr>
        <w:pStyle w:val="BodyText"/>
      </w:pPr>
      <w:r>
        <w:t>The Reuse People is a nonprofit corporation started in San Diego in 1994. The Reuse People will also provide “deconstruction” and dismantling services in the area. The Alameda County Source Reduction and Recycling Board provided start-up funding of $141,000 for this facility as well.</w:t>
      </w:r>
    </w:p>
    <w:p w14:paraId="298EEBED" w14:textId="77777777" w:rsidR="00000000" w:rsidRDefault="00000000">
      <w:pPr>
        <w:pStyle w:val="BodyText"/>
      </w:pPr>
      <w:r>
        <w:t>At the Davis Street Education Center, students learn about garbage and landfill history and why and how to practice the four Rs (reduce, reuse, recycle, and rot/compost). This 1,500-square foot center houses seven interactive museum-style exhibits and provides tours of all facets of the facilities described above. Two on-site demonstration gardens (raised bed and a portable garden in a rolloff box) use mulch and compost products.</w:t>
      </w:r>
    </w:p>
    <w:p w14:paraId="6AFDBB10" w14:textId="77777777" w:rsidR="00000000" w:rsidRDefault="00000000">
      <w:pPr>
        <w:pStyle w:val="BodyText"/>
      </w:pPr>
      <w:r>
        <w:t>More than 15,000 school children have visited the center since its opening in June 1995. The center provides a widely acclaimed teacher’s guide and garden guide to assist teachers in getting the most out of this experience for their children.</w:t>
      </w:r>
    </w:p>
    <w:p w14:paraId="22FE3818" w14:textId="77777777" w:rsidR="00000000" w:rsidRDefault="00000000">
      <w:pPr>
        <w:pStyle w:val="BodyText"/>
      </w:pPr>
      <w:r>
        <w:t>WM is also a leader in “closing the loop” at the Davis Street Transfer station through its own use of re-refined oil and tires. Any government agencies or nonprofit organizations providing tires for recycling to the Davis Street Transfer station are eligible for discount pricing on the purchase of the ground rubber product or crumb rubber produced by the tire recycling operation located there.</w:t>
      </w:r>
    </w:p>
    <w:p w14:paraId="0DBABE20" w14:textId="77777777" w:rsidR="00000000" w:rsidRDefault="00000000">
      <w:pPr>
        <w:pStyle w:val="BodyText"/>
      </w:pPr>
      <w:r>
        <w:t>WM is also working to expand recovery of carpeting and film plastic throughout Northern California and to establish an integrated glass and electronics waste recycling plant in the San Francisco Bay Area.</w:t>
      </w:r>
    </w:p>
    <w:p w14:paraId="501C7717" w14:textId="77777777" w:rsidR="00000000" w:rsidRDefault="00000000">
      <w:pPr>
        <w:pStyle w:val="BodyText"/>
      </w:pPr>
      <w:r>
        <w:lastRenderedPageBreak/>
        <w:t>WM also sells recycled-content products at the site, including retail sales of soil products and recycled-content landscape products. Twelve mulch and compost products are available by the bag and by the yard. Plastic lumber and bend-a-board landscape products are sold as well.</w:t>
      </w:r>
    </w:p>
    <w:p w14:paraId="6F11804C" w14:textId="77777777" w:rsidR="00000000" w:rsidRDefault="00000000">
      <w:pPr>
        <w:pStyle w:val="BodyText"/>
      </w:pPr>
      <w:r>
        <w:t>The development of this facility into a recycling park was the result of a five-year recycling master plan developed in 1996. WM staff met with the City of San Leandro economic development and planning staff to propose the recycling park idea. After an open house, several workshops and presentations, WM applied for a revision of their conditional use permit to the City of San Leandro. In February 1998, the city approved the five-year recycling master plan to guide the facility into becoming a recycling park.</w:t>
      </w:r>
    </w:p>
    <w:p w14:paraId="0D73E6BD" w14:textId="77777777" w:rsidR="00000000" w:rsidRDefault="00000000">
      <w:pPr>
        <w:pStyle w:val="BodyText"/>
      </w:pPr>
      <w:r>
        <w:t>In May 1998, the U.S. Environmental Protection Agency (U.S. EPA) awarded a $200,000 Jobs Through Recycling grant to the CIWMB to undertake a 24-month model effort to establish recycling businesses that use materials processed at the Davis Street Transfer Station. Included on the team were the CIWMB, WM, Alameda County Waste Management Authority, City of San Leandro, Oakland/Berkeley RMDZ, and several nonprofit organizations. The partnership is named “Alameda County Recycling Marketplace: The Davis Street Transfer Place for Sustainable Business.”</w:t>
      </w:r>
    </w:p>
    <w:p w14:paraId="32678F57" w14:textId="77777777" w:rsidR="00000000" w:rsidRDefault="00000000">
      <w:pPr>
        <w:pStyle w:val="BodyText"/>
      </w:pPr>
      <w:r>
        <w:t>In its advertisements, Alameda County Recycling Marketplace emphasized the elimination of red tape typically found in siting businesses. Instead of having to deal with multiple agencies or regulators individually, the marketplace brings them together ahead of time in a team to encourage recycling business development. Although the marketplace encompassed all of Alameda County, clearly it helped WM in promoting the reinventing of its Davis Street Transfer Station as a recycling park.</w:t>
      </w:r>
    </w:p>
    <w:p w14:paraId="49F2DCAA" w14:textId="77777777" w:rsidR="00000000" w:rsidRDefault="00000000">
      <w:pPr>
        <w:pStyle w:val="BodyText"/>
      </w:pPr>
      <w:r>
        <w:t>The marketplace offered the following assistance to recycling businesses:</w:t>
      </w:r>
    </w:p>
    <w:p w14:paraId="05083A5B" w14:textId="77777777" w:rsidR="00000000" w:rsidRDefault="00000000">
      <w:pPr>
        <w:pStyle w:val="BulletText"/>
      </w:pPr>
      <w:r>
        <w:t>Lower transportation costs and central access to local and international markets located in a major hub.</w:t>
      </w:r>
    </w:p>
    <w:p w14:paraId="27B36B4F" w14:textId="77777777" w:rsidR="00000000" w:rsidRDefault="00000000">
      <w:pPr>
        <w:pStyle w:val="BulletText"/>
      </w:pPr>
      <w:r>
        <w:t>Access to low-interest loans, grants, and training funds.</w:t>
      </w:r>
    </w:p>
    <w:p w14:paraId="29287CA8" w14:textId="77777777" w:rsidR="00000000" w:rsidRDefault="00000000">
      <w:pPr>
        <w:pStyle w:val="BulletText"/>
      </w:pPr>
      <w:r>
        <w:t>Access to a diverse labor pool, from entry-level trainees to highly educated technicians.</w:t>
      </w:r>
    </w:p>
    <w:p w14:paraId="11431366" w14:textId="77777777" w:rsidR="00000000" w:rsidRDefault="00000000">
      <w:pPr>
        <w:pStyle w:val="BulletText"/>
      </w:pPr>
      <w:r>
        <w:t>Direct access to a steady supply of local recycled feedstock, both traditional and non-traditional, available from multiple sources.</w:t>
      </w:r>
    </w:p>
    <w:p w14:paraId="554BE5C7" w14:textId="77777777" w:rsidR="00000000" w:rsidRDefault="00000000">
      <w:pPr>
        <w:pStyle w:val="BulletText"/>
      </w:pPr>
      <w:r>
        <w:t>Help in developing business plans and product marketing.</w:t>
      </w:r>
    </w:p>
    <w:p w14:paraId="5BBAE632" w14:textId="77777777" w:rsidR="00000000" w:rsidRDefault="00000000">
      <w:pPr>
        <w:pStyle w:val="BulletText"/>
      </w:pPr>
      <w:r>
        <w:t>Manufacturing and technology research and assistance.</w:t>
      </w:r>
    </w:p>
    <w:p w14:paraId="2C1E0360" w14:textId="77777777" w:rsidR="00000000" w:rsidRDefault="00000000">
      <w:pPr>
        <w:pStyle w:val="BulletText"/>
      </w:pPr>
      <w:r>
        <w:t>Siting assistance and expedited permit processing.</w:t>
      </w:r>
    </w:p>
    <w:p w14:paraId="16745358" w14:textId="77777777" w:rsidR="00000000" w:rsidRDefault="00000000">
      <w:pPr>
        <w:pStyle w:val="BulletText"/>
      </w:pPr>
      <w:r>
        <w:t>Partnership opportunities with existing recycling-based businesses and operations.</w:t>
      </w:r>
    </w:p>
    <w:p w14:paraId="07AE05CD" w14:textId="77777777" w:rsidR="00000000" w:rsidRDefault="00000000">
      <w:pPr>
        <w:pStyle w:val="BodyText"/>
      </w:pPr>
      <w:r>
        <w:t>In April 1999, the CIWMB approved a new solid waste facility permit for the Davis Street Transfer Station that includes the five-year recycling master plan.</w:t>
      </w:r>
    </w:p>
    <w:p w14:paraId="3A21511B" w14:textId="77777777" w:rsidR="00000000" w:rsidRDefault="00000000">
      <w:pPr>
        <w:pStyle w:val="BodyText"/>
      </w:pPr>
      <w:r>
        <w:t>In addition, the Alameda County Waste Management Authority (ACWMA) is now working on a companion effort to attract additional resource recovery businesses to this area. The ACWMA has been recruiting tenants that are all resource recovery businesses. The ACWMA will provide some additional funding to assist this project. The ACWMA is also soliciting a developer to work with them, using a “developer request for interest” process. They have identified a site and are negotiating on the price.</w:t>
      </w:r>
    </w:p>
    <w:p w14:paraId="2B31452A" w14:textId="77777777" w:rsidR="00000000" w:rsidRDefault="00000000">
      <w:pPr>
        <w:pStyle w:val="Heading1"/>
      </w:pPr>
      <w:r>
        <w:t>Case Study: Cabazon RR Park</w:t>
      </w:r>
    </w:p>
    <w:p w14:paraId="1C371342" w14:textId="77777777" w:rsidR="00000000" w:rsidRDefault="00000000">
      <w:pPr>
        <w:pStyle w:val="BodyText"/>
      </w:pPr>
      <w:r>
        <w:t>Recognizing the need for a well-conceived, environmentally sound industry to diversify their economy, the Cabazon Band of Mission Indians has set aside a 590-acre portion of their reservation for a resource recovery park.</w:t>
      </w:r>
    </w:p>
    <w:p w14:paraId="07EA8AE5" w14:textId="77777777" w:rsidR="00000000" w:rsidRDefault="00000000">
      <w:pPr>
        <w:pStyle w:val="BodyText"/>
      </w:pPr>
      <w:r>
        <w:t>The Cabazons have always lived in harmony with the land and innovatively built a future with few resources. Through their resourcefulness, they found ways to survive in the arid desert outside of Palm Springs, California. The Cabazon Resource Recovery Park is easily accessible from Interstate 10 via State Highway 111 in Mecca, California.</w:t>
      </w:r>
    </w:p>
    <w:p w14:paraId="4BDF2458" w14:textId="77777777" w:rsidR="00000000" w:rsidRDefault="00000000">
      <w:pPr>
        <w:pStyle w:val="BodyText"/>
      </w:pPr>
      <w:r>
        <w:t xml:space="preserve">In the mid-1970s, the Cabazons developed an overall master plan for their tribal lands. The key to that plan is economic diversity, pursued through </w:t>
      </w:r>
      <w:r>
        <w:lastRenderedPageBreak/>
        <w:t>several enterprises. The tribe’s casino alone provides jobs for more than 500 people. Indirect or secondary spending by employees, vendors, and tourists triples the economic impact throughout the community.</w:t>
      </w:r>
    </w:p>
    <w:p w14:paraId="4A8223CD" w14:textId="77777777" w:rsidR="00000000" w:rsidRDefault="00000000">
      <w:pPr>
        <w:pStyle w:val="BodyText"/>
      </w:pPr>
      <w:r>
        <w:t>Under the tribe’s plan for the Cabazon Resource Recovery Park, potential industries individually and collectively implement practical solutions to environmental and waste management problems of various types.</w:t>
      </w:r>
    </w:p>
    <w:p w14:paraId="7DA45586" w14:textId="77777777" w:rsidR="00000000" w:rsidRDefault="00000000">
      <w:pPr>
        <w:pStyle w:val="BodyText"/>
      </w:pPr>
      <w:r>
        <w:t>The following enterprises are currently operating:</w:t>
      </w:r>
    </w:p>
    <w:p w14:paraId="2471DEA8" w14:textId="77777777" w:rsidR="00000000" w:rsidRDefault="00000000">
      <w:pPr>
        <w:pStyle w:val="BulletText"/>
      </w:pPr>
      <w:r>
        <w:t>Colmac Energy, Inc. (a biomass-fueled power generation plant).</w:t>
      </w:r>
    </w:p>
    <w:p w14:paraId="3F7798F1" w14:textId="77777777" w:rsidR="00000000" w:rsidRDefault="00000000">
      <w:pPr>
        <w:pStyle w:val="BulletText"/>
      </w:pPr>
      <w:r>
        <w:t>First Nation Recovery Inc. (a crumb rubber manufacturer from old tires).</w:t>
      </w:r>
    </w:p>
    <w:p w14:paraId="6A331B15" w14:textId="77777777" w:rsidR="00000000" w:rsidRDefault="00000000">
      <w:pPr>
        <w:pStyle w:val="BodyText"/>
      </w:pPr>
      <w:r>
        <w:t>Proposed projects include the following:</w:t>
      </w:r>
    </w:p>
    <w:p w14:paraId="45A2E40C" w14:textId="77777777" w:rsidR="00000000" w:rsidRDefault="00000000">
      <w:pPr>
        <w:pStyle w:val="BulletText"/>
      </w:pPr>
      <w:r>
        <w:t>Metals reclamation.</w:t>
      </w:r>
    </w:p>
    <w:p w14:paraId="15137E06" w14:textId="77777777" w:rsidR="00000000" w:rsidRDefault="00000000">
      <w:pPr>
        <w:pStyle w:val="BulletText"/>
      </w:pPr>
      <w:r>
        <w:t>Biomass (tires, organics, plastics) gasification.</w:t>
      </w:r>
    </w:p>
    <w:p w14:paraId="27D6619B" w14:textId="77777777" w:rsidR="00000000" w:rsidRDefault="00000000">
      <w:pPr>
        <w:pStyle w:val="BulletText"/>
      </w:pPr>
      <w:r>
        <w:t>Used oil refinery.</w:t>
      </w:r>
    </w:p>
    <w:p w14:paraId="666B3E57" w14:textId="77777777" w:rsidR="00000000" w:rsidRDefault="00000000">
      <w:pPr>
        <w:pStyle w:val="BulletText"/>
      </w:pPr>
      <w:r>
        <w:t>Ethanol or methanol facility.</w:t>
      </w:r>
    </w:p>
    <w:p w14:paraId="3B4370F0" w14:textId="77777777" w:rsidR="00000000" w:rsidRDefault="00000000">
      <w:pPr>
        <w:pStyle w:val="BulletText"/>
      </w:pPr>
      <w:r>
        <w:t>Green and food waste composting.</w:t>
      </w:r>
    </w:p>
    <w:p w14:paraId="25507F28" w14:textId="77777777" w:rsidR="00000000" w:rsidRDefault="00000000">
      <w:pPr>
        <w:pStyle w:val="BulletText"/>
      </w:pPr>
      <w:r>
        <w:t>Metals recycling (e.g., copper, nickel wire).</w:t>
      </w:r>
    </w:p>
    <w:p w14:paraId="1C2ADE73" w14:textId="77777777" w:rsidR="00000000" w:rsidRDefault="00000000">
      <w:pPr>
        <w:pStyle w:val="BulletText"/>
        <w:rPr>
          <w:lang w:val="fr-FR"/>
        </w:rPr>
      </w:pPr>
      <w:r>
        <w:rPr>
          <w:lang w:val="fr-FR"/>
        </w:rPr>
        <w:t>Construction &amp; demolition recycling.</w:t>
      </w:r>
    </w:p>
    <w:p w14:paraId="33A4AF1B" w14:textId="77777777" w:rsidR="00000000" w:rsidRDefault="00000000">
      <w:pPr>
        <w:pStyle w:val="BulletText"/>
      </w:pPr>
      <w:r>
        <w:t>Reclaimed glass.</w:t>
      </w:r>
    </w:p>
    <w:p w14:paraId="4FDE63AB" w14:textId="77777777" w:rsidR="00000000" w:rsidRDefault="00000000">
      <w:pPr>
        <w:pStyle w:val="BulletText"/>
      </w:pPr>
      <w:r>
        <w:t>Plastics and rubber molding.</w:t>
      </w:r>
    </w:p>
    <w:p w14:paraId="21A26E31" w14:textId="77777777" w:rsidR="00000000" w:rsidRDefault="00000000">
      <w:pPr>
        <w:pStyle w:val="BulletText"/>
      </w:pPr>
      <w:r>
        <w:t>Organic prawn farm.</w:t>
      </w:r>
    </w:p>
    <w:p w14:paraId="6F6A03D2" w14:textId="77777777" w:rsidR="00000000" w:rsidRDefault="00000000">
      <w:pPr>
        <w:pStyle w:val="BulletText"/>
      </w:pPr>
      <w:r>
        <w:t>Soil blending and bagging.</w:t>
      </w:r>
    </w:p>
    <w:p w14:paraId="51218E11" w14:textId="77777777" w:rsidR="00000000" w:rsidRDefault="00000000">
      <w:pPr>
        <w:pStyle w:val="BulletText"/>
      </w:pPr>
      <w:r>
        <w:t>Paper de-inking.</w:t>
      </w:r>
    </w:p>
    <w:p w14:paraId="0F5408E8" w14:textId="77777777" w:rsidR="00000000" w:rsidRDefault="00000000">
      <w:pPr>
        <w:pStyle w:val="BulletText"/>
      </w:pPr>
      <w:r>
        <w:t>Steel production.</w:t>
      </w:r>
    </w:p>
    <w:p w14:paraId="25E660E2" w14:textId="77777777" w:rsidR="00000000" w:rsidRDefault="00000000">
      <w:pPr>
        <w:pStyle w:val="BulletText"/>
      </w:pPr>
      <w:r>
        <w:t>Regional materials recovery facility.</w:t>
      </w:r>
    </w:p>
    <w:p w14:paraId="121F8536" w14:textId="77777777" w:rsidR="00000000" w:rsidRDefault="00000000">
      <w:pPr>
        <w:pStyle w:val="BulletText"/>
      </w:pPr>
      <w:r>
        <w:t>Other industries that recycle, reuse, or transform waste streams into useful commodities.</w:t>
      </w:r>
    </w:p>
    <w:p w14:paraId="5E462A8D" w14:textId="77777777" w:rsidR="00000000" w:rsidRDefault="00000000">
      <w:pPr>
        <w:pStyle w:val="BulletText"/>
      </w:pPr>
      <w:r>
        <w:t>Related light and heavy manufacturing and offices.</w:t>
      </w:r>
    </w:p>
    <w:p w14:paraId="44DB5D6E" w14:textId="77777777" w:rsidR="00000000" w:rsidRDefault="00000000">
      <w:pPr>
        <w:pStyle w:val="BodyText"/>
      </w:pPr>
      <w:r>
        <w:t xml:space="preserve">The Cabazons honor their ancestors and show their appreciation for their success by giving to charitable organizations and embracing environmental issues. They do everything within </w:t>
      </w:r>
      <w:r>
        <w:t>their power to leave the children of the world a legacy of knowledge, good health, and happiness.</w:t>
      </w:r>
    </w:p>
    <w:p w14:paraId="2E9C289E" w14:textId="77777777" w:rsidR="00000000" w:rsidRDefault="00000000">
      <w:pPr>
        <w:pStyle w:val="Heading2"/>
      </w:pPr>
      <w:r>
        <w:t>Development Incentives</w:t>
      </w:r>
    </w:p>
    <w:p w14:paraId="37CEFF34" w14:textId="77777777" w:rsidR="00000000" w:rsidRDefault="00000000">
      <w:pPr>
        <w:pStyle w:val="BodyText"/>
      </w:pPr>
      <w:r>
        <w:t>As an equity partner, the tribe has a direct interest in ensuring cost-effective development. Incentives for establishing and maintaining a business on the Cabazon Reservation include:</w:t>
      </w:r>
    </w:p>
    <w:p w14:paraId="1B214483" w14:textId="77777777" w:rsidR="00000000" w:rsidRDefault="00000000">
      <w:pPr>
        <w:pStyle w:val="BodyText"/>
      </w:pPr>
      <w:r>
        <w:rPr>
          <w:b/>
          <w:bCs/>
        </w:rPr>
        <w:t>Streamlined permitting</w:t>
      </w:r>
      <w:r>
        <w:t>. The Cabazons’ Planning Department handles approvals, plan checks, building permits, zoning, and inspections. While the Cabazon tribe chooses to maintain high standards for environmental quality, a project proponent need not go through lengthy and costly approval processes typical in other areas.</w:t>
      </w:r>
    </w:p>
    <w:p w14:paraId="664E082A" w14:textId="77777777" w:rsidR="00000000" w:rsidRDefault="00000000">
      <w:pPr>
        <w:pStyle w:val="BodyText"/>
      </w:pPr>
      <w:r>
        <w:t>A recently-approved U.S. Environmental Protection Agency programmatic environmental impact statement (EIS) included about 50 potential projects. Those named in the EIS would be good candidates to tackle first; larger or different projects would require a modification of the EIS. Regardless of the options chosen, the bulk of the environmental review will still have been completed.</w:t>
      </w:r>
    </w:p>
    <w:p w14:paraId="5A9C2466" w14:textId="77777777" w:rsidR="00000000" w:rsidRDefault="00000000">
      <w:pPr>
        <w:pStyle w:val="BodyText"/>
      </w:pPr>
      <w:r>
        <w:rPr>
          <w:b/>
          <w:bCs/>
        </w:rPr>
        <w:t>Minimal limitations</w:t>
      </w:r>
      <w:r>
        <w:t>. The site is zoned for heavy industrial to light manufacturing. There are no height, setback, or other requirements limiting most construction. The site has no endangered species, special habitat zones, or wetlands. Rail access, electricity, natural gas, water, and telephone services are all in close proximity to the site.</w:t>
      </w:r>
    </w:p>
    <w:p w14:paraId="332D4189" w14:textId="77777777" w:rsidR="00000000" w:rsidRDefault="00000000">
      <w:pPr>
        <w:pStyle w:val="BodyText"/>
      </w:pPr>
      <w:r>
        <w:rPr>
          <w:b/>
          <w:bCs/>
        </w:rPr>
        <w:t>Lower fees</w:t>
      </w:r>
      <w:r>
        <w:t>. Development fees on the Cabazon reservation are significantly less than in neighboring jurisdictions in the Coachella Valley.</w:t>
      </w:r>
    </w:p>
    <w:p w14:paraId="6A37EE7F" w14:textId="77777777" w:rsidR="00000000" w:rsidRDefault="00000000">
      <w:pPr>
        <w:pStyle w:val="BodyText"/>
      </w:pPr>
      <w:r>
        <w:rPr>
          <w:b/>
          <w:bCs/>
        </w:rPr>
        <w:t>Lower costs</w:t>
      </w:r>
      <w:r>
        <w:t>. Fees are kept at cost; there are no school fees, transportation mitigation fees, or other special measures involved. The tribe is not required to comply with the Subdivision Map Act. As a governmental purchaser, the tribe obtains favorable pricing from vendors.</w:t>
      </w:r>
    </w:p>
    <w:p w14:paraId="7EC57425" w14:textId="77777777" w:rsidR="00000000" w:rsidRDefault="00000000">
      <w:pPr>
        <w:pStyle w:val="BodyText"/>
      </w:pPr>
      <w:r>
        <w:rPr>
          <w:b/>
          <w:bCs/>
        </w:rPr>
        <w:t>Tax incentives</w:t>
      </w:r>
      <w:r>
        <w:t>. This project includes the following tax incentives:</w:t>
      </w:r>
    </w:p>
    <w:p w14:paraId="7805B2DD" w14:textId="77777777" w:rsidR="00000000" w:rsidRDefault="00000000">
      <w:pPr>
        <w:pStyle w:val="BulletText"/>
      </w:pPr>
      <w:r>
        <w:t>Tribes and tribal-owned corporations are not subject to federal income taxation on reservation land. A joint venture structured as a limited partnership or limited corporation could allocate the tribe’s share of tax deductions and credits to the venture.</w:t>
      </w:r>
    </w:p>
    <w:p w14:paraId="0DABB935" w14:textId="77777777" w:rsidR="00000000" w:rsidRDefault="00000000">
      <w:pPr>
        <w:pStyle w:val="BulletText"/>
      </w:pPr>
      <w:r>
        <w:lastRenderedPageBreak/>
        <w:t>Goods and services such as fuel and telephone may be excluded from excise taxation if the tribe provides these goods and services to the venture.</w:t>
      </w:r>
    </w:p>
    <w:p w14:paraId="0FECCF8B" w14:textId="77777777" w:rsidR="00000000" w:rsidRDefault="00000000">
      <w:pPr>
        <w:pStyle w:val="BulletText"/>
      </w:pPr>
      <w:r>
        <w:t>Through the Indian Government Tribal Tax Status Act, tribes can obtain tax-exempt financing and other tax-exempt obligations.</w:t>
      </w:r>
    </w:p>
    <w:p w14:paraId="0AE2BE33" w14:textId="77777777" w:rsidR="00000000" w:rsidRDefault="00000000">
      <w:pPr>
        <w:pStyle w:val="BulletText"/>
      </w:pPr>
      <w:r>
        <w:t>The Revenue Reconciliation Act of 1993 outlines several tax advantages for businesses on Indian land. These benefits include accelerated depreciation schedules and incremental wage credits and insurance costs.</w:t>
      </w:r>
    </w:p>
    <w:p w14:paraId="37A74E92" w14:textId="77777777" w:rsidR="00000000" w:rsidRDefault="00000000">
      <w:pPr>
        <w:pStyle w:val="BulletText"/>
      </w:pPr>
      <w:r>
        <w:t>Tribal ventures also may be exempt from State and local gross receipt taxes, license, consumption and use taxes, and conveyance taxes.</w:t>
      </w:r>
    </w:p>
    <w:p w14:paraId="287DF8AE" w14:textId="77777777" w:rsidR="00000000" w:rsidRDefault="00000000">
      <w:pPr>
        <w:pStyle w:val="BulletText"/>
      </w:pPr>
      <w:r>
        <w:t>Deductions and credits against State income tax may be available to joint ventures if they meet certain conditions.</w:t>
      </w:r>
    </w:p>
    <w:p w14:paraId="03B9E330" w14:textId="77777777" w:rsidR="00000000" w:rsidRDefault="00000000">
      <w:pPr>
        <w:pStyle w:val="BodyText"/>
      </w:pPr>
      <w:r>
        <w:rPr>
          <w:b/>
          <w:bCs/>
        </w:rPr>
        <w:t>Rural Empowerment Zone</w:t>
      </w:r>
      <w:r>
        <w:t>. The Cabazon Resource Recovery Park is also located in an area that was designated a “rural empowerment zone” in 1999. The Desert Communities Empowerment Zone is one of five federally-designated zones in the nation. The tribe will received an initial $2 million grant and an additional $2 million in 2000. Cabazon Second Vice Chairman Marc Benitez was recently named president of the Desert Alliance for Community Empowerment, a nonprofit board responsible for implementation of the strategic plan for the empowerment zone. Empowerment zone status provides additional tax breaks and incentives.</w:t>
      </w:r>
    </w:p>
    <w:p w14:paraId="0D4D4FDA" w14:textId="77777777" w:rsidR="00000000" w:rsidRDefault="00000000">
      <w:pPr>
        <w:pStyle w:val="Heading2"/>
      </w:pPr>
      <w:r>
        <w:t>Colmac Energy—the Anchor</w:t>
      </w:r>
    </w:p>
    <w:p w14:paraId="69FD2680" w14:textId="77777777" w:rsidR="00000000" w:rsidRDefault="00000000">
      <w:pPr>
        <w:pStyle w:val="BodyText"/>
      </w:pPr>
      <w:r>
        <w:t>Colmac Energy is a 48-megawatt biomass-fueled power generation plant that provides power to Southern California Edison under a long-term contract. A critical anchor for the Cabazon Resource Recovery Park, the $148 million facility was the first resource recovery business to be built and in the park.</w:t>
      </w:r>
    </w:p>
    <w:p w14:paraId="2FBAE134" w14:textId="77777777" w:rsidR="00000000" w:rsidRDefault="00000000">
      <w:pPr>
        <w:pStyle w:val="BodyText"/>
      </w:pPr>
      <w:r>
        <w:t xml:space="preserve">The facility uses 700 to 900 tons per day of biomass fuels. Colmac obtains wood, woody wastes, and agricultural residues from throughout Southern California. These wastes, combined with limited amounts of natural gas and petroleum coke, fuel the plant. This has provided one of the </w:t>
      </w:r>
      <w:r>
        <w:t>most stable markets for many municipal yard waste and wood waste recycling programs, particularly in the Inland Empire of San Bernardino and Riverside counties and the Coachella Valley.</w:t>
      </w:r>
    </w:p>
    <w:p w14:paraId="2F5E6687" w14:textId="77777777" w:rsidR="00000000" w:rsidRDefault="00000000">
      <w:pPr>
        <w:pStyle w:val="BodyText"/>
      </w:pPr>
      <w:r>
        <w:t>Since opening in February 1992, Colmac has used an average of 275,000 tons each year of biomass and petroleum coke. Burning these fuels produces steam, which drives a turbine generator. The electricity generated supplies power to approximately 45,000 homes.</w:t>
      </w:r>
    </w:p>
    <w:p w14:paraId="53900C54" w14:textId="77777777" w:rsidR="00000000" w:rsidRDefault="00000000">
      <w:pPr>
        <w:pStyle w:val="BodyText"/>
      </w:pPr>
      <w:r>
        <w:t>The plant is equipped with the latest pollution-control equipment and meets all California and EPA environmental standards. The plant uses water from either of two on-site wells, each approximately 800 feet in depth. Water consumption is about 600 gallons per minute, almost all of which is lost to cooling tower evaporation. No wastewater is discharged for disposal.</w:t>
      </w:r>
    </w:p>
    <w:p w14:paraId="5835D0B3" w14:textId="77777777" w:rsidR="00000000" w:rsidRDefault="00000000">
      <w:pPr>
        <w:pStyle w:val="BodyText"/>
      </w:pPr>
      <w:r>
        <w:t>Large transfer trucks deliver material to the plant from throughout California. Deliveries average 40 trucks per day on a six-day-per-week basis (deliveries are not accepted on Sundays). The plant also receives 10 to 25 small truckloads of biomass per day from landscape contractors and small growers.</w:t>
      </w:r>
    </w:p>
    <w:p w14:paraId="2394493B" w14:textId="77777777" w:rsidR="00000000" w:rsidRDefault="00000000">
      <w:pPr>
        <w:pStyle w:val="BodyText"/>
      </w:pPr>
      <w:r>
        <w:t>In 1999, deregulation of the electricity market in California threatened to close the Colmac plant. Southern California Edison has proposed to buy out the remainder of the 10-year agreement it has with Colmac. However, due to tremendous support from local governments and private industry throughout Southern California, Colmac is planning to remain open. In order to price its electricity rates more competitively, the plant will need to obtain its biomass fuel at no cost. Colmac will also be seeking tax credits to support its continued operations.</w:t>
      </w:r>
    </w:p>
    <w:p w14:paraId="0ACA2CFC" w14:textId="77777777" w:rsidR="00000000" w:rsidRDefault="00000000">
      <w:pPr>
        <w:pStyle w:val="BodyText"/>
      </w:pPr>
      <w:r>
        <w:t>Colmac generates about 70 to 80 tons of non-hazardous wood ash per week. This ash could be used in road construction, in municipal wastewater plants, or as mine backfill and reclamation material. The ash could go into selected building materials or be used to convert sludge to fertilizer. The Cabazons are open to an entrepreneur pursuing one of those uses for this material.</w:t>
      </w:r>
    </w:p>
    <w:p w14:paraId="092C7D24" w14:textId="77777777" w:rsidR="00000000" w:rsidRDefault="00000000">
      <w:pPr>
        <w:pStyle w:val="Heading2"/>
      </w:pPr>
      <w:r>
        <w:lastRenderedPageBreak/>
        <w:t>First Nation Recovery Inc.</w:t>
      </w:r>
    </w:p>
    <w:p w14:paraId="0AC98D65" w14:textId="77777777" w:rsidR="00000000" w:rsidRDefault="00000000">
      <w:pPr>
        <w:pStyle w:val="BodyText"/>
      </w:pPr>
      <w:r>
        <w:t>First Nation Recovery Inc. (First Nation) is a wholly owned $10 million venture of the Cabazons. Through state-of-the-art recycling processes, First Nation can turn millions of scrap tires a year into useful products. The facility has been shipping close to 1.5 million pounds of crumb rubber a month since it opened in June 1999.</w:t>
      </w:r>
    </w:p>
    <w:p w14:paraId="714221D2" w14:textId="77777777" w:rsidR="00000000" w:rsidRDefault="00000000">
      <w:pPr>
        <w:pStyle w:val="BodyText"/>
      </w:pPr>
      <w:r>
        <w:t>First Nation has formed a strategic alliance with Momentum Technologies Inc., one of the nation’s leading materials-testing laboratories, to provide customer quality assurance. The sales and marketing department in Pinole, California, conducts all product sales for First Nation.</w:t>
      </w:r>
    </w:p>
    <w:p w14:paraId="11187618" w14:textId="77777777" w:rsidR="00000000" w:rsidRDefault="00000000">
      <w:pPr>
        <w:pStyle w:val="BodyText"/>
      </w:pPr>
      <w:r>
        <w:t>First Nation obtains its tires from permitted and licensed scrap tire haulers in Southern California. These companies collect tires from tire shops, public works departments, and other scrap tire generators and deliver them to First Nation in Mecca. First Nation does not handle individual tire delivery.</w:t>
      </w:r>
    </w:p>
    <w:p w14:paraId="7277337C" w14:textId="77777777" w:rsidR="00000000" w:rsidRDefault="00000000">
      <w:pPr>
        <w:pStyle w:val="BodyText"/>
      </w:pPr>
      <w:r>
        <w:t>First Nation currently processes 6,000 pounds of tires per hour (270 car tires per hour or 250 small truck tires per hour), which equates to 48,000 pounds per eight-hour shift. First Nation currently runs one shift but will eventually run three full shifts. First Nation will be able to process 720,000 pounds per week—about 35 million pounds per year—once they are running three shifts. There are 10 full-time employees, including management staff, office personnel, and the plant crew.</w:t>
      </w:r>
    </w:p>
    <w:p w14:paraId="61FF01CC" w14:textId="77777777" w:rsidR="00000000" w:rsidRDefault="00000000">
      <w:pPr>
        <w:pStyle w:val="BodyText"/>
      </w:pPr>
      <w:r>
        <w:t>The company’s largest contract to date was for 965,000 pounds of rubberized asphalt concrete (RAC) for a highway project in Arizona. Some of the high-quality environmentally beneficial products that First Nation produces are:</w:t>
      </w:r>
    </w:p>
    <w:p w14:paraId="0EF4E2BA" w14:textId="77777777" w:rsidR="00000000" w:rsidRDefault="00000000">
      <w:pPr>
        <w:pStyle w:val="BodyText"/>
      </w:pPr>
      <w:r>
        <w:rPr>
          <w:b/>
          <w:bCs/>
        </w:rPr>
        <w:t>Crumb Rubber</w:t>
      </w:r>
      <w:r>
        <w:t>. High-quality crumb rubber, available in mesh sizes as fine as 40x. Compounders use crumb rubber in thousands of products, from floor mats to athletic mats, asphalt sealant, and dock bumpers. They produce both plastic products and rubber products.</w:t>
      </w:r>
    </w:p>
    <w:p w14:paraId="63AAB776" w14:textId="77777777" w:rsidR="00000000" w:rsidRDefault="00000000">
      <w:pPr>
        <w:pStyle w:val="BodyText"/>
      </w:pPr>
      <w:r>
        <w:rPr>
          <w:b/>
          <w:bCs/>
        </w:rPr>
        <w:t>EcoPave TP</w:t>
      </w:r>
      <w:r>
        <w:t>. This is an enhanced formula of fine mesh crumb rubber for the rubberized asphalt industry. With superior blending properties, EcoPave TP meets the Federal Highway Administration’s SUPERPAVE standards and results in a more durable road surface.</w:t>
      </w:r>
      <w:r>
        <w:cr/>
      </w:r>
      <w:r>
        <w:rPr>
          <w:b/>
          <w:bCs/>
        </w:rPr>
        <w:t>EnviroTurf</w:t>
      </w:r>
      <w:r>
        <w:t>. This product has a cushion-like feel and is perfect for playground and landscape cover. It is nonabrasive and nontoxic, has an ultraviolet ray-protective surface , and is treated with antifungicide and antibacterial agents. It comes in colors and is easy to install and maintain.</w:t>
      </w:r>
    </w:p>
    <w:p w14:paraId="274D050F" w14:textId="77777777" w:rsidR="00000000" w:rsidRDefault="00000000">
      <w:pPr>
        <w:pStyle w:val="BodyText"/>
      </w:pPr>
      <w:r>
        <w:rPr>
          <w:b/>
          <w:bCs/>
        </w:rPr>
        <w:t>EnviroTurf EQ</w:t>
      </w:r>
      <w:r>
        <w:t>. This product is used for year-round, multiuse equestrian arenas. It reduces horse fatigue and injury and drains quickly, but it holds enough moisture to reduce dust. It won’t freeze or trench out, and it helps cut surface glare and requires minimum maintenance.</w:t>
      </w:r>
    </w:p>
    <w:p w14:paraId="50C7C619" w14:textId="77777777" w:rsidR="00000000" w:rsidRDefault="00000000">
      <w:pPr>
        <w:pStyle w:val="BodyText"/>
      </w:pPr>
      <w:r>
        <w:t>Five months after its June 1999 opening, First Nation was honored with a Project Achievement Award from the Association of Environmental Professionals.</w:t>
      </w:r>
    </w:p>
    <w:p w14:paraId="1B078906" w14:textId="77777777" w:rsidR="00000000" w:rsidRDefault="00000000">
      <w:pPr>
        <w:pStyle w:val="Heading1"/>
      </w:pPr>
      <w:r>
        <w:t>Case Study: Eco-Industrial Parks</w:t>
      </w:r>
    </w:p>
    <w:p w14:paraId="0B2059CA" w14:textId="77777777" w:rsidR="00000000" w:rsidRDefault="00000000">
      <w:pPr>
        <w:pStyle w:val="BodyText"/>
      </w:pPr>
      <w:r>
        <w:t>RR parks evolved from eco-industrial parks (eco-parks), a major development in the U.S. and around the world. Eco-parks focus on environmental management issues and stress the synergistic use of wastes from one company as resources for another in the park.</w:t>
      </w:r>
    </w:p>
    <w:p w14:paraId="73214D1B" w14:textId="77777777" w:rsidR="00000000" w:rsidRDefault="00000000">
      <w:pPr>
        <w:pStyle w:val="BodyText"/>
      </w:pPr>
      <w:r>
        <w:t>Eco-parks are one of the major initiatives of the President’s Council on Sustainable Development (PCSD), Eco-Efficiency Task Force. The PCSD funded planning efforts at four sites (Baltimore, Md.; Brownsville, Tex; Chattanooga, Tenn.; and Port Charles, Va.) to speed the implementation of the concept in the United States. Localities are in varying stages of planning and implementation.</w:t>
      </w:r>
    </w:p>
    <w:p w14:paraId="5F9803E3" w14:textId="77777777" w:rsidR="00000000" w:rsidRDefault="00000000">
      <w:pPr>
        <w:pStyle w:val="BodyText"/>
      </w:pPr>
      <w:r>
        <w:t xml:space="preserve">In its landmark 1996 report, </w:t>
      </w:r>
      <w:r>
        <w:rPr>
          <w:i/>
          <w:iCs/>
        </w:rPr>
        <w:t>Sustainable America: A New Consensus for Prosperity, Opportunity, and a Healthy Environment</w:t>
      </w:r>
      <w:r>
        <w:t>, the PCSD recommended that “Federal and state agencies assist communities that want to create eco-industrial parks. . . [as] models of industrial efficiency, cooperation, and environmental responsibility.”</w:t>
      </w:r>
    </w:p>
    <w:p w14:paraId="65D9F7B3" w14:textId="77777777" w:rsidR="00000000" w:rsidRDefault="00000000">
      <w:pPr>
        <w:pStyle w:val="BodyText"/>
      </w:pPr>
      <w:r>
        <w:t>PCSD defined an eco-park as a group of businesses that work together and with the community to efficiently share resources (materials, water, energy, infrastructure, natural habitat, and information), enhance economic prosperity, and improve the environment.</w:t>
      </w:r>
    </w:p>
    <w:p w14:paraId="76007EDE" w14:textId="77777777" w:rsidR="00000000" w:rsidRDefault="00000000">
      <w:pPr>
        <w:pStyle w:val="BodyText"/>
      </w:pPr>
      <w:r>
        <w:t>A community, a local government, a nonprofit organization, or a business can initiate eco-parks, but their success often depends on broad support and collaboration.</w:t>
      </w:r>
    </w:p>
    <w:p w14:paraId="0C0FF99F" w14:textId="77777777" w:rsidR="00000000" w:rsidRDefault="00000000">
      <w:pPr>
        <w:pStyle w:val="BodyText"/>
      </w:pPr>
      <w:r>
        <w:lastRenderedPageBreak/>
        <w:t xml:space="preserve">In its 1997 report, </w:t>
      </w:r>
      <w:r>
        <w:rPr>
          <w:i/>
          <w:iCs/>
        </w:rPr>
        <w:t>The Road to Sustainable Development: A Snapshot of Activities in the United States</w:t>
      </w:r>
      <w:r>
        <w:t>, the PCSD highlighted three general models of eco-parks:</w:t>
      </w:r>
    </w:p>
    <w:p w14:paraId="5BE7FCB0" w14:textId="77777777" w:rsidR="00000000" w:rsidRDefault="00000000">
      <w:pPr>
        <w:pStyle w:val="BulletText"/>
      </w:pPr>
      <w:r>
        <w:t>Zero-emissions eco-park, in which a group of businesses are co-located and work together to reduce or eliminate emissions and wastes.</w:t>
      </w:r>
    </w:p>
    <w:p w14:paraId="6DD5C10E" w14:textId="77777777" w:rsidR="00000000" w:rsidRDefault="00000000">
      <w:pPr>
        <w:pStyle w:val="BulletText"/>
      </w:pPr>
      <w:r>
        <w:t>Virtual eco-park, in which businesses are geographically separate but work together to minimize their impact on the environment.</w:t>
      </w:r>
    </w:p>
    <w:p w14:paraId="3C5C1D1D" w14:textId="77777777" w:rsidR="00000000" w:rsidRDefault="00000000">
      <w:pPr>
        <w:pStyle w:val="BulletText"/>
      </w:pPr>
      <w:r>
        <w:t>Eco-development, in which non-industrial establishments apply the principles of industrial ecology.</w:t>
      </w:r>
    </w:p>
    <w:p w14:paraId="34D5B216" w14:textId="77777777" w:rsidR="00000000" w:rsidRDefault="00000000">
      <w:pPr>
        <w:pStyle w:val="BodyText"/>
      </w:pPr>
      <w:r>
        <w:t>Industrial ecology is the study of a closed loop in which resources and energy flow into production processes. Excess materials go back into the loop so that little or no waste is generated. Consumer products flow back into production loops through recycling to recover resources. Ideally, the loops are closed within a factory or among industries in a region.</w:t>
      </w:r>
    </w:p>
    <w:p w14:paraId="051DB396" w14:textId="77777777" w:rsidR="00000000" w:rsidRDefault="00000000">
      <w:pPr>
        <w:pStyle w:val="BodyText"/>
      </w:pPr>
      <w:r>
        <w:t>This newly evolving area of economic development is beginning to be tested in practice. It has potential to link economic development, environmental protection, and social equity in communities throughout the United States.</w:t>
      </w:r>
    </w:p>
    <w:p w14:paraId="5F7F40CE" w14:textId="77777777" w:rsidR="00000000" w:rsidRDefault="00000000">
      <w:pPr>
        <w:pStyle w:val="Heading2"/>
      </w:pPr>
      <w:r>
        <w:t>Examples of Eco-Parks</w:t>
      </w:r>
    </w:p>
    <w:p w14:paraId="2FE60B55" w14:textId="77777777" w:rsidR="00000000" w:rsidRDefault="00000000">
      <w:pPr>
        <w:pStyle w:val="BodyText"/>
        <w:rPr>
          <w:i/>
          <w:iCs/>
        </w:rPr>
      </w:pPr>
      <w:r>
        <w:t xml:space="preserve">The following examples of eco-parks are based on summaries provided in the PCSD 1997 Report, </w:t>
      </w:r>
      <w:r>
        <w:rPr>
          <w:i/>
          <w:iCs/>
        </w:rPr>
        <w:t>The Road to Sustainable Development: A Snapshot of Activities in the United States.</w:t>
      </w:r>
    </w:p>
    <w:p w14:paraId="274D9652" w14:textId="77777777" w:rsidR="00000000" w:rsidRDefault="00000000">
      <w:pPr>
        <w:pStyle w:val="BodyText"/>
      </w:pPr>
      <w:r>
        <w:rPr>
          <w:b/>
          <w:bCs/>
        </w:rPr>
        <w:t>Northampton County, Va.</w:t>
      </w:r>
      <w:r>
        <w:t xml:space="preserve"> An example of the first type of eco-park is the Port of Cape Charles Sustainable Technologies Industrial Park, located in Eastville, Northampton County, Va. Cape Charles is in the Chesapeake Bay coastal region. The area serves as a critical flyway for migrating birds, with some of the highest bird counts on the whole eastern shore. In addition to its natural features, the area has a rich cultural and historic heritage, characterized by Native American archeological sites and historic homes.</w:t>
      </w:r>
    </w:p>
    <w:p w14:paraId="668C847B" w14:textId="77777777" w:rsidR="00000000" w:rsidRDefault="00000000">
      <w:pPr>
        <w:pStyle w:val="BodyText"/>
      </w:pPr>
      <w:r>
        <w:t xml:space="preserve">The community, as part of a comprehensive Sustainable Development Action Strategy, is designing the Port of Cape Charles eco-park. If successful, the facility will create local jobs and </w:t>
      </w:r>
      <w:r>
        <w:t>provide protection for the area’s natural and cultural resources.</w:t>
      </w:r>
    </w:p>
    <w:p w14:paraId="37C34178" w14:textId="77777777" w:rsidR="00000000" w:rsidRDefault="00000000">
      <w:pPr>
        <w:pStyle w:val="BodyText"/>
      </w:pPr>
      <w:r>
        <w:t>The eco-park will provide for water recycling among the resident companies by means of a used-water collection system, a water recovery facility, and a recycled-water distribution system. In addition, a technical panel will analyze and determine whether other companies within the park can use the by-products of existing and proposed companies.</w:t>
      </w:r>
    </w:p>
    <w:p w14:paraId="58B369D1" w14:textId="77777777" w:rsidR="00000000" w:rsidRDefault="00000000">
      <w:pPr>
        <w:pStyle w:val="BodyText"/>
      </w:pPr>
      <w:r>
        <w:t>Construction on the eco-park began in October 1996, with funding from local, regional, State, and federal sources. The first tenant will be Solar Building Systems Inc. The Northampton County Department of Sustainable Economic Development/Joint Industrial Development Authority is managing the project. Initial efforts have focused on recruiting compatible companies and on developing effective management for the park as an industrial ecosystem. The local community is enthusiastic and committed to the project, and it will be a key to the park’s future success.</w:t>
      </w:r>
    </w:p>
    <w:p w14:paraId="75EF4CDE" w14:textId="77777777" w:rsidR="00000000" w:rsidRDefault="00000000">
      <w:pPr>
        <w:pStyle w:val="BodyText"/>
      </w:pPr>
      <w:r>
        <w:rPr>
          <w:b/>
          <w:bCs/>
        </w:rPr>
        <w:t>Brownsville, Tex.</w:t>
      </w:r>
      <w:r>
        <w:t xml:space="preserve"> An example of the second type of eco-park (a “virtual” eco-park) is a project in Brownsville, Tex. Brownsville is located on the southern tip of Texas in the Rio Grande Valley and is often referred to as a city “on the border, by the sea.” It has a rich natural environment and is considered to be one of the three top bird-watching sites in the United States. At the same time, the city has some of the most serious environmental problems in the northern hemisphere and is struggling to address its high poverty and unemployment rates.</w:t>
      </w:r>
    </w:p>
    <w:p w14:paraId="7864C799" w14:textId="77777777" w:rsidR="00000000" w:rsidRDefault="00000000">
      <w:pPr>
        <w:pStyle w:val="BodyText"/>
      </w:pPr>
      <w:r>
        <w:t>Local and state government officials have been the primary drivers behind the development of an eco-park in this border region. Clearly if the region’s industrial growth is to continue, the nature of that development must change to protect both human health and the environment.</w:t>
      </w:r>
    </w:p>
    <w:p w14:paraId="4D4A2899" w14:textId="77777777" w:rsidR="00000000" w:rsidRDefault="00000000">
      <w:pPr>
        <w:pStyle w:val="BodyText"/>
      </w:pPr>
      <w:r>
        <w:t xml:space="preserve">As a virtual eco-park, the Brownsville project takes a regional approach to exchanging waste materials and by-products. This approach is sometimes referred to as regional “industrial symbiosis.” The project could eventually include a group of businesses that are geographically located together, but co-location is not the driving force behind the project at this time. As currently </w:t>
      </w:r>
      <w:r>
        <w:lastRenderedPageBreak/>
        <w:t>envisioned, the project will include not only industrial facilities but also small businesses and the agricultural sector.</w:t>
      </w:r>
    </w:p>
    <w:p w14:paraId="310464B4" w14:textId="77777777" w:rsidR="00000000" w:rsidRDefault="00000000">
      <w:pPr>
        <w:pStyle w:val="BodyText"/>
        <w:widowControl w:val="0"/>
      </w:pPr>
      <w:r>
        <w:t>Planning for the Brownsville project has focused on identifying firms that could benefit from participating in regional industrial symbiosis. Project planners have developed a database of companies in Brownsville and in the neighboring city of Matamoros, Mexico. They are analyzing it to identify potential materials exchanges among these industries and/or new companies.</w:t>
      </w:r>
    </w:p>
    <w:p w14:paraId="10980F2E" w14:textId="77777777" w:rsidR="00000000" w:rsidRDefault="00000000">
      <w:pPr>
        <w:pStyle w:val="BodyText"/>
      </w:pPr>
      <w:r>
        <w:t>The Texas Department of Commerce and the Brownsville community have provided initial funding, and project leaders are working to secure long-term support. State officials will be working closely with project leaders to ensure that permitting procedures do not become a barrier to development.</w:t>
      </w:r>
    </w:p>
    <w:p w14:paraId="348B1D9F" w14:textId="77777777" w:rsidR="00000000" w:rsidRDefault="00000000">
      <w:pPr>
        <w:pStyle w:val="BodyText"/>
      </w:pPr>
      <w:r>
        <w:t>After adding cost-based data to the database, project planners will develop a marketing plan to evaluate and recruit participants. They plan to educate and involve the local residents in implementing the project. The project holds great promise for improving the lives of the people of Brownsville.</w:t>
      </w:r>
    </w:p>
    <w:p w14:paraId="57FC224B" w14:textId="77777777" w:rsidR="00000000" w:rsidRDefault="00000000">
      <w:pPr>
        <w:pStyle w:val="BodyText"/>
      </w:pPr>
      <w:r>
        <w:rPr>
          <w:b/>
          <w:bCs/>
        </w:rPr>
        <w:t>Burlington, Vt</w:t>
      </w:r>
      <w:r>
        <w:t>. An example of the third type of eco-park (eco-development) is the Riverside Eco-Park in Burlington, Vt. This project will create an agricultural-industrial park in an urban setting that will:</w:t>
      </w:r>
    </w:p>
    <w:p w14:paraId="7EBC86A9" w14:textId="77777777" w:rsidR="00000000" w:rsidRDefault="00000000">
      <w:pPr>
        <w:pStyle w:val="BodyText"/>
        <w:numPr>
          <w:ilvl w:val="0"/>
          <w:numId w:val="8"/>
        </w:numPr>
      </w:pPr>
      <w:r>
        <w:t>Generate electricity using biomass technologies that use readily available resources (e.g., wood chips).</w:t>
      </w:r>
    </w:p>
    <w:p w14:paraId="2187056C" w14:textId="77777777" w:rsidR="00000000" w:rsidRDefault="00000000">
      <w:pPr>
        <w:pStyle w:val="BodyText"/>
        <w:numPr>
          <w:ilvl w:val="0"/>
          <w:numId w:val="8"/>
        </w:numPr>
      </w:pPr>
      <w:r>
        <w:t>Use the waste heat generated by the power plant to support the greenhouse production of fish and horticultural products.</w:t>
      </w:r>
    </w:p>
    <w:p w14:paraId="53E7B5CF" w14:textId="77777777" w:rsidR="00000000" w:rsidRDefault="00000000">
      <w:pPr>
        <w:pStyle w:val="BodyText"/>
        <w:numPr>
          <w:ilvl w:val="0"/>
          <w:numId w:val="8"/>
        </w:numPr>
      </w:pPr>
      <w:r>
        <w:t>Use biologically-based “living systems” to digest liquid organic wastes (which are common in the food processing industry) to purify water and create high strength fertilizers.</w:t>
      </w:r>
    </w:p>
    <w:p w14:paraId="7B369B2A" w14:textId="77777777" w:rsidR="00000000" w:rsidRDefault="00000000">
      <w:pPr>
        <w:pStyle w:val="BodyText"/>
        <w:numPr>
          <w:ilvl w:val="0"/>
          <w:numId w:val="8"/>
        </w:numPr>
      </w:pPr>
      <w:r>
        <w:t xml:space="preserve">Recycle and compost the area’s waste foodstuffs and yard debris to replenish local soils, increase agricultural production, and support value-added organic food industries. All of these emerging technologies are being developed with the ultimate goal of </w:t>
      </w:r>
      <w:r>
        <w:t>transferring them to other industries and communities.</w:t>
      </w:r>
    </w:p>
    <w:p w14:paraId="78EB99B5" w14:textId="77777777" w:rsidR="00000000" w:rsidRDefault="00000000">
      <w:pPr>
        <w:pStyle w:val="BodyText"/>
      </w:pPr>
      <w:r>
        <w:t>This project is expected to have several positive results, including reducing the waste heat that is released into the air and water, improving soil conditions and water quality, and creating sustainable jobs for the local people. A feasibility study that examined the inputs, outflows, and costs of the biomass energy systems and the living systems led to the conclusion that combining the two systems could be economically and environmentally beneficial. The next steps will be to prepare engineering and cost analyses of the linked systems.</w:t>
      </w:r>
    </w:p>
    <w:p w14:paraId="0174B3E9" w14:textId="77777777" w:rsidR="00000000" w:rsidRDefault="00000000">
      <w:pPr>
        <w:pStyle w:val="BodyText"/>
      </w:pPr>
      <w:r>
        <w:t>A Community Development Block Grant, the Burlington Electric Department, the Department of Public Works, and Cornell University are providing support. Project leaders have applied to the U.S. EPA and the U.S. Department of Energy for funding.</w:t>
      </w:r>
    </w:p>
    <w:p w14:paraId="7526AE8F" w14:textId="77777777" w:rsidR="00000000" w:rsidRDefault="00000000">
      <w:pPr>
        <w:pStyle w:val="BodyText"/>
      </w:pPr>
      <w:r>
        <w:t>The leaders have also recruited a number of organizations and companies to participate in the first demonstration project. They plan to bring in additional partners as the strengths and weaknesses of the project become evident. Project leaders have developed an aggressive five-year plan. They expect to transfer this eco-development model to other sites and to the development of commercially viable spinoff industries.</w:t>
      </w:r>
    </w:p>
    <w:p w14:paraId="680397A3" w14:textId="77777777" w:rsidR="00000000" w:rsidRDefault="00000000">
      <w:pPr>
        <w:pStyle w:val="Heading1"/>
      </w:pPr>
      <w:r>
        <w:t>Local Government Challenges and Opportunities</w:t>
      </w:r>
    </w:p>
    <w:p w14:paraId="6CDD3EF9" w14:textId="77777777" w:rsidR="00000000" w:rsidRDefault="00000000">
      <w:pPr>
        <w:pStyle w:val="BodyText"/>
      </w:pPr>
      <w:r>
        <w:t>Resource recovery parks are a new challenge and opportunity to dramatically expand reuse, recycling, and composting businesses. Local governments are in a unique position to make these happen.</w:t>
      </w:r>
    </w:p>
    <w:p w14:paraId="7EC5D2D6" w14:textId="77777777" w:rsidR="00000000" w:rsidRDefault="00000000">
      <w:pPr>
        <w:pStyle w:val="BodyText"/>
      </w:pPr>
      <w:r>
        <w:t>Because RR parks are new to communities, they require stakeholder involvement, including:</w:t>
      </w:r>
    </w:p>
    <w:p w14:paraId="063649AA" w14:textId="77777777" w:rsidR="00000000" w:rsidRDefault="00000000">
      <w:pPr>
        <w:pStyle w:val="BulletText"/>
      </w:pPr>
      <w:r>
        <w:t>Local reuse, recycling, and composting businesses.</w:t>
      </w:r>
    </w:p>
    <w:p w14:paraId="6BB4C437" w14:textId="77777777" w:rsidR="00000000" w:rsidRDefault="00000000">
      <w:pPr>
        <w:pStyle w:val="BulletText"/>
      </w:pPr>
      <w:r>
        <w:t>Local waste haulers.</w:t>
      </w:r>
    </w:p>
    <w:p w14:paraId="10D85A6F" w14:textId="77777777" w:rsidR="00000000" w:rsidRDefault="00000000">
      <w:pPr>
        <w:pStyle w:val="BulletText"/>
      </w:pPr>
      <w:r>
        <w:t>Local businesses (e.g., realtors, lending institutions, manufacturers).</w:t>
      </w:r>
    </w:p>
    <w:p w14:paraId="57120FE4" w14:textId="77777777" w:rsidR="00000000" w:rsidRDefault="00000000">
      <w:pPr>
        <w:pStyle w:val="BulletText"/>
      </w:pPr>
      <w:r>
        <w:t>Multiple city agencies (e.g., public works, planning, redevelopment/economic development).</w:t>
      </w:r>
    </w:p>
    <w:p w14:paraId="6AF8872D" w14:textId="77777777" w:rsidR="00000000" w:rsidRDefault="00000000">
      <w:pPr>
        <w:pStyle w:val="BulletText"/>
      </w:pPr>
      <w:r>
        <w:lastRenderedPageBreak/>
        <w:t>County solid waste agencies.</w:t>
      </w:r>
    </w:p>
    <w:p w14:paraId="5B66B205" w14:textId="77777777" w:rsidR="00000000" w:rsidRDefault="00000000">
      <w:pPr>
        <w:pStyle w:val="BulletText"/>
      </w:pPr>
      <w:r>
        <w:t>State and federal solid waste agencies.</w:t>
      </w:r>
    </w:p>
    <w:p w14:paraId="0DC86095" w14:textId="77777777" w:rsidR="00000000" w:rsidRDefault="00000000">
      <w:pPr>
        <w:pStyle w:val="BodyText"/>
      </w:pPr>
      <w:r>
        <w:t>Local governments can play a key role in convening all these stakeholders. They can point out challenges and opportunities and identify how best to proceed in your local area.</w:t>
      </w:r>
    </w:p>
    <w:p w14:paraId="5B2DE3C8" w14:textId="77777777" w:rsidR="00000000" w:rsidRDefault="00000000">
      <w:pPr>
        <w:pStyle w:val="BodyText"/>
      </w:pPr>
      <w:r>
        <w:t>RR parks are emerging in small rural counties like Del Norte (population 30,000) as well as in major metropolitan areas. RR parks combine unique waste reduction and recycling concepts—such as recycling market development zones—with traditional industrial park development skills.</w:t>
      </w:r>
    </w:p>
    <w:p w14:paraId="0A885D94" w14:textId="77777777" w:rsidR="00000000" w:rsidRDefault="00000000">
      <w:pPr>
        <w:pStyle w:val="BodyText"/>
      </w:pPr>
      <w:r>
        <w:t>Until private developers understand the workings of RR parks and how to operate them, local governments will most likely be the catalysts for creating new parks. There are quite a few skills and resources that local governments can also bring to bear, as noted above. With their skills, resources, and leadership, municipalities can promote the RR park and mobilize stakeholders in working towards a common vision.</w:t>
      </w:r>
    </w:p>
    <w:p w14:paraId="2C7ABC27" w14:textId="77777777" w:rsidR="00000000" w:rsidRDefault="00000000">
      <w:pPr>
        <w:pStyle w:val="Heading1"/>
      </w:pPr>
      <w:r>
        <w:t>Tips for Replication</w:t>
      </w:r>
    </w:p>
    <w:p w14:paraId="7B90DF48" w14:textId="77777777" w:rsidR="00000000" w:rsidRDefault="00000000">
      <w:pPr>
        <w:pStyle w:val="BulletText"/>
      </w:pPr>
      <w:r>
        <w:t>Convene local stakeholders to educate and explore local options.</w:t>
      </w:r>
    </w:p>
    <w:p w14:paraId="7FD2D96B" w14:textId="77777777" w:rsidR="00000000" w:rsidRDefault="00000000">
      <w:pPr>
        <w:pStyle w:val="BulletText"/>
      </w:pPr>
      <w:r>
        <w:t>Identify existing reuse, recycling, and composting businesses that would like to expand.</w:t>
      </w:r>
    </w:p>
    <w:p w14:paraId="56EBDF45" w14:textId="77777777" w:rsidR="00000000" w:rsidRDefault="00000000">
      <w:pPr>
        <w:pStyle w:val="BulletText"/>
      </w:pPr>
      <w:r>
        <w:t>Perform an analysis to identify wastes that need to be managed differently. This would show development potential of enterprises that reuse, recycle, or compost these wastes.</w:t>
      </w:r>
    </w:p>
    <w:p w14:paraId="31E14E95" w14:textId="77777777" w:rsidR="00000000" w:rsidRDefault="00000000">
      <w:pPr>
        <w:pStyle w:val="BulletText"/>
      </w:pPr>
      <w:r>
        <w:t>Identify local resources available and adopt policies in support of this vision of an RR park.</w:t>
      </w:r>
    </w:p>
    <w:p w14:paraId="2B906EEA" w14:textId="77777777" w:rsidR="00000000" w:rsidRDefault="00000000">
      <w:pPr>
        <w:pStyle w:val="BulletText"/>
      </w:pPr>
      <w:r>
        <w:t>Contact others who have developed such facilities and learn how they approached the task.</w:t>
      </w:r>
    </w:p>
    <w:p w14:paraId="5EFBD71B" w14:textId="77777777" w:rsidR="00000000" w:rsidRDefault="00000000">
      <w:pPr>
        <w:pStyle w:val="BulletText"/>
      </w:pPr>
      <w:r>
        <w:t>Target realistic steps for your program, budget for them and make sure they are accomplished.</w:t>
      </w:r>
    </w:p>
    <w:p w14:paraId="7E780750" w14:textId="77777777" w:rsidR="00000000" w:rsidRDefault="00000000">
      <w:pPr>
        <w:pStyle w:val="Heading1"/>
        <w:spacing w:before="0"/>
      </w:pPr>
      <w:r>
        <w:br w:type="column"/>
      </w:r>
      <w:r>
        <w:t>For More Information</w:t>
      </w:r>
    </w:p>
    <w:p w14:paraId="5DBD8677" w14:textId="77777777" w:rsidR="00000000" w:rsidRDefault="00000000">
      <w:pPr>
        <w:pStyle w:val="Heading2"/>
      </w:pPr>
      <w:r>
        <w:t>CIWMB Publications</w:t>
      </w:r>
    </w:p>
    <w:p w14:paraId="4ADC6D8E" w14:textId="77777777" w:rsidR="00000000" w:rsidRDefault="00000000">
      <w:pPr>
        <w:pStyle w:val="BodyText"/>
      </w:pPr>
      <w:r>
        <w:t xml:space="preserve">Many CIWMB publications are available on the Board’s Web site at </w:t>
      </w:r>
      <w:hyperlink r:id="rId9" w:history="1">
        <w:r>
          <w:rPr>
            <w:rStyle w:val="Hyperlink"/>
          </w:rPr>
          <w:t>www.ciwmb.ca.gov/</w:t>
        </w:r>
        <w:r>
          <w:rPr>
            <w:rStyle w:val="Hyperlink"/>
          </w:rPr>
          <w:br/>
          <w:t>Publications/</w:t>
        </w:r>
      </w:hyperlink>
      <w:r>
        <w:t>. To order hard copy publications, call 1-800-CA-WASTE (California only), or (916) 341-6306, or write the Publications Clearinghouse, MS-6, California Integrated Waste Management Board, P.O. Box 4025, Sacramento, CA 95812-4025.</w:t>
      </w:r>
    </w:p>
    <w:p w14:paraId="0563B0C3" w14:textId="77777777" w:rsidR="00000000" w:rsidRDefault="00000000">
      <w:pPr>
        <w:pStyle w:val="Heading2"/>
      </w:pPr>
      <w:r>
        <w:t>Other Publications</w:t>
      </w:r>
    </w:p>
    <w:p w14:paraId="5C80E9F3" w14:textId="77777777" w:rsidR="00000000" w:rsidRDefault="00000000">
      <w:pPr>
        <w:pStyle w:val="BodyText"/>
      </w:pPr>
      <w:r>
        <w:t xml:space="preserve">Urban Ore, Inc. </w:t>
      </w:r>
      <w:r>
        <w:rPr>
          <w:i/>
          <w:iCs/>
        </w:rPr>
        <w:t>Generic Designs and Projected Performance for two sizes of Integrated Resource Recovery Facilities.</w:t>
      </w:r>
      <w:r>
        <w:t xml:space="preserve"> Prepared for the West Virginia Solid Waste Management Board, 1995.</w:t>
      </w:r>
    </w:p>
    <w:p w14:paraId="589C098F" w14:textId="77777777" w:rsidR="00000000" w:rsidRDefault="00000000">
      <w:pPr>
        <w:pStyle w:val="BodyText"/>
      </w:pPr>
      <w:r>
        <w:t xml:space="preserve">Del Norte County Waste Management Authority. Zero Waste Plan, 2000. (707) 465-1100, </w:t>
      </w:r>
      <w:hyperlink r:id="rId10" w:history="1">
        <w:r>
          <w:rPr>
            <w:rStyle w:val="Hyperlink"/>
          </w:rPr>
          <w:t>www.grrn.org./</w:t>
        </w:r>
      </w:hyperlink>
      <w:r>
        <w:t>.</w:t>
      </w:r>
    </w:p>
    <w:p w14:paraId="75279D92" w14:textId="77777777" w:rsidR="00000000" w:rsidRDefault="00000000">
      <w:pPr>
        <w:pStyle w:val="BodyText"/>
      </w:pPr>
      <w:r>
        <w:rPr>
          <w:i/>
          <w:iCs/>
        </w:rPr>
        <w:t>Economic Development Alliance for Business</w:t>
      </w:r>
      <w:r>
        <w:t>. Feasibility Study for Eco-Industrial Park. Prepared by Kelly Runyon, Brown, Vence &amp; Associates and Bart Blum and Steven Sherman, Eco Development Associates, 1998.</w:t>
      </w:r>
    </w:p>
    <w:p w14:paraId="0BD4D617" w14:textId="77777777" w:rsidR="00000000" w:rsidRDefault="00000000">
      <w:pPr>
        <w:pStyle w:val="BodyText"/>
      </w:pPr>
      <w:r>
        <w:t xml:space="preserve">President’s Council on Sustainable Development. </w:t>
      </w:r>
      <w:r>
        <w:rPr>
          <w:i/>
          <w:iCs/>
        </w:rPr>
        <w:t>Towards A Sustainable America: Advancing Prosperity, Opportunity, and a Healthy Environment for the 21st Century</w:t>
      </w:r>
      <w:r>
        <w:t xml:space="preserve">. Washington, D.C., 1999. </w:t>
      </w:r>
      <w:hyperlink r:id="rId11" w:history="1">
        <w:r>
          <w:rPr>
            <w:rStyle w:val="Hyperlink"/>
          </w:rPr>
          <w:t>www.whitehouse.gov/PCSD</w:t>
        </w:r>
      </w:hyperlink>
      <w:r>
        <w:t>.</w:t>
      </w:r>
    </w:p>
    <w:p w14:paraId="7F25E121" w14:textId="77777777" w:rsidR="00000000" w:rsidRDefault="00000000">
      <w:pPr>
        <w:pStyle w:val="BodyText"/>
      </w:pPr>
      <w:r>
        <w:t xml:space="preserve">President’s Council on Sustainable Development. </w:t>
      </w:r>
      <w:r>
        <w:rPr>
          <w:i/>
          <w:iCs/>
        </w:rPr>
        <w:t>The Road to Sustainable Development: A Snapshot of Activities in the United States.</w:t>
      </w:r>
      <w:r>
        <w:t xml:space="preserve"> Washington, D.C., 1997.</w:t>
      </w:r>
    </w:p>
    <w:p w14:paraId="6B3AB8B4" w14:textId="77777777" w:rsidR="00000000" w:rsidRDefault="00000000">
      <w:pPr>
        <w:pStyle w:val="BodyText"/>
      </w:pPr>
      <w:r>
        <w:t xml:space="preserve">President’s Council on Sustainable Development. </w:t>
      </w:r>
      <w:r>
        <w:rPr>
          <w:i/>
          <w:iCs/>
        </w:rPr>
        <w:t>Towards A Sustainable America: Advancing Prosperity, Opportunity, and a Healthy Environment for the 21st Century.</w:t>
      </w:r>
      <w:r>
        <w:t xml:space="preserve"> Washington, D.C., 1999.</w:t>
      </w:r>
    </w:p>
    <w:p w14:paraId="46CCCC33" w14:textId="77777777" w:rsidR="00000000" w:rsidRDefault="00000000">
      <w:pPr>
        <w:pStyle w:val="Heading2"/>
      </w:pPr>
      <w:r>
        <w:t>Contacts</w:t>
      </w:r>
    </w:p>
    <w:p w14:paraId="39C28F47" w14:textId="77777777" w:rsidR="00000000" w:rsidRDefault="00000000">
      <w:pPr>
        <w:pStyle w:val="BodyText"/>
      </w:pPr>
      <w:r>
        <w:t>Office of Local Assistance, CIWMB. (916) 341-6199.</w:t>
      </w:r>
    </w:p>
    <w:p w14:paraId="77FF6CF5" w14:textId="77777777" w:rsidR="00000000" w:rsidRDefault="00000000">
      <w:pPr>
        <w:pStyle w:val="BodyText"/>
      </w:pPr>
      <w:r>
        <w:t>Michael Derry, Waste Not Consulting. (760) 770-5294, MDWASTENOT@aol.com.</w:t>
      </w:r>
    </w:p>
    <w:p w14:paraId="1D03EEDD" w14:textId="77777777" w:rsidR="00000000" w:rsidRDefault="00000000">
      <w:pPr>
        <w:pStyle w:val="BodyText"/>
        <w:sectPr w:rsidR="00000000">
          <w:footerReference w:type="default" r:id="rId12"/>
          <w:type w:val="continuous"/>
          <w:pgSz w:w="12240" w:h="15840" w:code="1"/>
          <w:pgMar w:top="1440" w:right="1440" w:bottom="1350" w:left="1440" w:header="360" w:footer="360" w:gutter="0"/>
          <w:cols w:num="2" w:space="360"/>
        </w:sectPr>
      </w:pPr>
      <w:r>
        <w:t>Ted Newman, Planning Director, or Janice Kleinschmidt, Public Information Officer, Cabazon Band of Mission Indians. (760) 342-2593, Ext. 3009.</w:t>
      </w:r>
    </w:p>
    <w:p w14:paraId="3AEF5181" w14:textId="77777777" w:rsidR="00000000" w:rsidRDefault="00000000">
      <w:pPr>
        <w:pStyle w:val="BodyText"/>
      </w:pPr>
      <w:r>
        <w:lastRenderedPageBreak/>
        <w:t>Colmac Energy, Inc., 62300 Gene Welmas Drive, Mecca, California. (760) 396-2554.</w:t>
      </w:r>
    </w:p>
    <w:p w14:paraId="0A1684B4" w14:textId="77777777" w:rsidR="00000000" w:rsidRDefault="00000000">
      <w:pPr>
        <w:pStyle w:val="BodyText"/>
      </w:pPr>
      <w:r>
        <w:t>Larry Morris or David Nuss, First Nation Sales and Marketing, 2550 Appian Way, Suite 209, Pinole, CA 94564. (510) 758-9092, FNRI@aol.com</w:t>
      </w:r>
    </w:p>
    <w:p w14:paraId="1CEDA1C5" w14:textId="77777777" w:rsidR="00000000" w:rsidRDefault="00000000">
      <w:pPr>
        <w:pStyle w:val="BodyText"/>
      </w:pPr>
      <w:r>
        <w:t>Mary Lou Van Deventer, Urban Ore, Inc., 1333 Sixth St., Berkeley, CA 94710. (510) 559-4453, MaryLouVan@aol.com.</w:t>
      </w:r>
    </w:p>
    <w:p w14:paraId="6363B4C4" w14:textId="77777777" w:rsidR="00000000" w:rsidRDefault="00000000">
      <w:pPr>
        <w:pStyle w:val="BodyText"/>
      </w:pPr>
      <w:r>
        <w:t>John Moore, Law Offices of Stone and Moore (attorney for Urban Ore), 4 Embarcadero Center, Suite 510, San Francisco, CA 94111. (415) 956-3400, recyclmoore@earthlink.net.</w:t>
      </w:r>
    </w:p>
    <w:p w14:paraId="031AB7DF" w14:textId="77777777" w:rsidR="00000000" w:rsidRDefault="00000000">
      <w:pPr>
        <w:pStyle w:val="BodyText"/>
      </w:pPr>
      <w:r>
        <w:t xml:space="preserve">Recycling Business Marketplace. (916) 341-6600, mktplace@ciwmb.ca.gov or </w:t>
      </w:r>
      <w:hyperlink r:id="rId13" w:history="1">
        <w:r>
          <w:rPr>
            <w:rStyle w:val="Hyperlink"/>
          </w:rPr>
          <w:t>www.ciwmb.ca.gov/Marketplace/</w:t>
        </w:r>
      </w:hyperlink>
      <w:r>
        <w:t>.</w:t>
      </w:r>
    </w:p>
    <w:p w14:paraId="330C925F" w14:textId="77777777" w:rsidR="00000000" w:rsidRDefault="00000000">
      <w:pPr>
        <w:pStyle w:val="BodyText"/>
      </w:pPr>
      <w:r>
        <w:t>Gary Liss, Gary Liss &amp; Associates, 4395 Gold Trail Way, Loomis, CA 95650-8929. gary@garyliss.com.</w:t>
      </w:r>
    </w:p>
    <w:p w14:paraId="04580E60" w14:textId="77777777" w:rsidR="00000000" w:rsidRDefault="00000000">
      <w:pPr>
        <w:pStyle w:val="BodyText"/>
      </w:pPr>
      <w:r>
        <w:t xml:space="preserve">Ernest Lowe, Indigo Development, 6423 Oakwood Drive, Oakland, CA 94611. (510) 339-1090, ELowe@indigodev.com, </w:t>
      </w:r>
      <w:hyperlink r:id="rId14" w:history="1">
        <w:r>
          <w:rPr>
            <w:rStyle w:val="Hyperlink"/>
          </w:rPr>
          <w:t>www.indigodev.com./</w:t>
        </w:r>
      </w:hyperlink>
    </w:p>
    <w:p w14:paraId="412C2469" w14:textId="77777777" w:rsidR="00000000" w:rsidRDefault="00000000">
      <w:pPr>
        <w:pStyle w:val="BodyText"/>
      </w:pPr>
      <w:r>
        <w:t>Robert Phillips, First Nation Recovery Inc., Cabazon Resource Recovery Park, P.O. Box 297, Mecca, CA 92254. (760) 396-9936.</w:t>
      </w:r>
    </w:p>
    <w:p w14:paraId="557D9813" w14:textId="77777777" w:rsidR="00000000" w:rsidRDefault="00000000">
      <w:pPr>
        <w:pStyle w:val="Heading1"/>
      </w:pPr>
      <w:r>
        <w:t>Credits and Disclaimer</w:t>
      </w:r>
    </w:p>
    <w:p w14:paraId="4E3FF921" w14:textId="77777777" w:rsidR="00000000" w:rsidRDefault="00000000">
      <w:pPr>
        <w:pStyle w:val="BodyText"/>
      </w:pPr>
      <w:r>
        <w:t>Gary Liss &amp; Associates prepared this study pursuant to contract IWM-C8028 ($198,633, included other services) with the University of California at Santa Cruz for a series of 24 studies and summaries.</w:t>
      </w:r>
    </w:p>
    <w:p w14:paraId="074533DE" w14:textId="77777777" w:rsidR="00000000" w:rsidRDefault="00000000">
      <w:pPr>
        <w:pStyle w:val="BodyText"/>
        <w:ind w:right="90"/>
      </w:pPr>
      <w:r>
        <w:br w:type="column"/>
      </w:r>
      <w:r>
        <w:t>The Board acknowledges the following who assisted in preparing this document:</w:t>
      </w:r>
    </w:p>
    <w:p w14:paraId="04E38D11" w14:textId="77777777" w:rsidR="00000000" w:rsidRDefault="00000000">
      <w:pPr>
        <w:pStyle w:val="BodyText"/>
      </w:pPr>
      <w:r>
        <w:t>Mary Lou Van Deveneter and Dan Knapp,</w:t>
      </w:r>
      <w:r>
        <w:br/>
        <w:t>Urban Ore</w:t>
      </w:r>
    </w:p>
    <w:p w14:paraId="28A7683E" w14:textId="77777777" w:rsidR="00000000" w:rsidRDefault="00000000">
      <w:pPr>
        <w:pStyle w:val="BodyText"/>
      </w:pPr>
      <w:r>
        <w:t>Ted Newman and Janice Kleinschmidt, Cabazon Band of Mission Indians</w:t>
      </w:r>
    </w:p>
    <w:p w14:paraId="3956ECAA" w14:textId="77777777" w:rsidR="00000000" w:rsidRDefault="00000000">
      <w:pPr>
        <w:pStyle w:val="BodyText"/>
      </w:pPr>
      <w:r>
        <w:t>Robert Phillips, First Nation Recovery</w:t>
      </w:r>
    </w:p>
    <w:p w14:paraId="56C1FCF0" w14:textId="77777777" w:rsidR="00000000" w:rsidRDefault="00000000">
      <w:pPr>
        <w:pStyle w:val="BodyText"/>
      </w:pPr>
      <w:r>
        <w:t>David Myers and Heidi Feldman, Monterey Regional Waste Management District</w:t>
      </w:r>
    </w:p>
    <w:p w14:paraId="6B117274" w14:textId="77777777" w:rsidR="00000000" w:rsidRDefault="00000000">
      <w:pPr>
        <w:pStyle w:val="BodyText"/>
      </w:pPr>
      <w:r>
        <w:t>Kevin McCarthy, Waste Management, Inc.</w:t>
      </w:r>
    </w:p>
    <w:p w14:paraId="1760C23B" w14:textId="77777777" w:rsidR="00000000" w:rsidRDefault="00000000">
      <w:pPr>
        <w:pStyle w:val="BodyText"/>
      </w:pPr>
      <w:r>
        <w:t>Rory Bakke, Alameda County Waste Management Authority</w:t>
      </w:r>
    </w:p>
    <w:p w14:paraId="76080F19" w14:textId="77777777" w:rsidR="00000000" w:rsidRDefault="00000000">
      <w:pPr>
        <w:pStyle w:val="BodyText"/>
      </w:pPr>
      <w:r>
        <w:t>The statements and conclusions in this summary are those of the contractor and not necessarily those of the California Integrated Waste Management Board, its employees, or the State of California. In addition, the data in this report was provided by local sources but not independently verified. The State and its contractors make no warranty, express or implied, and assume no liability for the information contained in this text. Any mention of commercial products, companies, or processes shall not be construed as an endorsement of such products or processes.</w:t>
      </w:r>
    </w:p>
    <w:p w14:paraId="2E381EBB" w14:textId="77777777" w:rsidR="00000000" w:rsidRDefault="00000000">
      <w:pPr>
        <w:pStyle w:val="TableHeading"/>
        <w:pBdr>
          <w:top w:val="single" w:sz="8" w:space="3" w:color="auto" w:shadow="1"/>
          <w:left w:val="single" w:sz="8" w:space="4" w:color="auto" w:shadow="1"/>
          <w:bottom w:val="single" w:sz="8" w:space="6" w:color="auto" w:shadow="1"/>
          <w:right w:val="single" w:sz="8" w:space="4" w:color="auto" w:shadow="1"/>
        </w:pBdr>
        <w:rPr>
          <w:rFonts w:ascii="Arial" w:hAnsi="Arial" w:cs="Arial"/>
        </w:rPr>
      </w:pPr>
      <w:r>
        <w:t xml:space="preserve">The energy challenge facing California is real. Every Californian needs to take immediate action to reduce energy consumption. For a list of simple ways you can reduce demand and cut your energy costs, see our Web site at </w:t>
      </w:r>
      <w:hyperlink r:id="rId15" w:history="1">
        <w:r>
          <w:rPr>
            <w:rStyle w:val="Hyperlink"/>
          </w:rPr>
          <w:t>www.ciwmb.ca.gov</w:t>
        </w:r>
      </w:hyperlink>
      <w:r>
        <w:rPr>
          <w:rFonts w:ascii="Arial" w:hAnsi="Arial" w:cs="Arial"/>
        </w:rPr>
        <w:t>.</w:t>
      </w:r>
    </w:p>
    <w:p w14:paraId="39FFAE19" w14:textId="77777777" w:rsidR="00027C4C" w:rsidRDefault="00027C4C">
      <w:pPr>
        <w:pStyle w:val="BodyText"/>
      </w:pPr>
    </w:p>
    <w:sectPr w:rsidR="00027C4C">
      <w:footerReference w:type="default" r:id="rId16"/>
      <w:type w:val="continuous"/>
      <w:pgSz w:w="12240" w:h="15840" w:code="1"/>
      <w:pgMar w:top="1440" w:right="1440" w:bottom="1440" w:left="1440" w:header="360" w:footer="36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1C40" w14:textId="77777777" w:rsidR="00027C4C" w:rsidRDefault="00027C4C">
      <w:pPr>
        <w:spacing w:after="0"/>
      </w:pPr>
      <w:r>
        <w:separator/>
      </w:r>
    </w:p>
  </w:endnote>
  <w:endnote w:type="continuationSeparator" w:id="0">
    <w:p w14:paraId="19A6C64E" w14:textId="77777777" w:rsidR="00027C4C" w:rsidRDefault="00027C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437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2F1A" w14:textId="77777777" w:rsidR="00000000" w:rsidRDefault="00000000">
    <w:pPr>
      <w:pStyle w:val="DatePub"/>
      <w:pBdr>
        <w:bottom w:val="single" w:sz="4" w:space="1" w:color="auto"/>
      </w:pBdr>
      <w:tabs>
        <w:tab w:val="right" w:pos="9810"/>
      </w:tabs>
    </w:pPr>
    <w:r>
      <w:t xml:space="preserve">Publication </w:t>
    </w:r>
    <w:r>
      <w:rPr>
        <w:rFonts w:cs="Arial"/>
      </w:rPr>
      <w:t># 310-01-011</w:t>
    </w:r>
    <w:r>
      <w:tab/>
      <w:t>October 2001</w:t>
    </w:r>
  </w:p>
  <w:p w14:paraId="3675B2E4" w14:textId="77777777" w:rsidR="00000000" w:rsidRDefault="00000000">
    <w:pPr>
      <w:pStyle w:val="Footer"/>
    </w:pPr>
    <w:r>
      <w:t xml:space="preserve">The California Integrated Waste Management Board (CIWMB) does not discriminate on the basis of disability in access to its programs. CIWMB publications are available in accessible formats upon request by calling the Public Affairs Office at </w:t>
    </w:r>
    <w:r>
      <w:br/>
      <w:t xml:space="preserve">(916) 341-6300. Persons with hearing impairments can reach the CIWMB through the California Relay Service, 1-800-735-2929. </w:t>
    </w:r>
    <w:r>
      <w:rPr>
        <w:rFonts w:cs="Arial"/>
      </w:rPr>
      <w:t>©</w:t>
    </w:r>
    <w:r>
      <w:t>2001 by the California Integrated Waste Management Board. All rights reserved. This publication, or parts thereof, may not be reproduced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FE12" w14:textId="77777777" w:rsidR="00027C4C" w:rsidRDefault="00027C4C">
      <w:pPr>
        <w:spacing w:after="0"/>
      </w:pPr>
      <w:r>
        <w:separator/>
      </w:r>
    </w:p>
  </w:footnote>
  <w:footnote w:type="continuationSeparator" w:id="0">
    <w:p w14:paraId="09B4A6FC" w14:textId="77777777" w:rsidR="00027C4C" w:rsidRDefault="00027C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53C9" w14:textId="77777777" w:rsidR="00000000" w:rsidRDefault="00000000">
    <w:pPr>
      <w:pStyle w:val="Header"/>
      <w:framePr w:wrap="around" w:vAnchor="text" w:hAnchor="margin" w:xAlign="outside" w:y="1"/>
      <w:rPr>
        <w:rStyle w:val="PageNumber"/>
        <w:rFonts w:ascii="Times New Roman" w:hAnsi="Times New Roman"/>
        <w:b w:val="0"/>
        <w:bCs/>
        <w:i w:val="0"/>
        <w:iCs/>
        <w:sz w:val="22"/>
      </w:rPr>
    </w:pPr>
    <w:r>
      <w:rPr>
        <w:rStyle w:val="PageNumber"/>
        <w:rFonts w:ascii="Times New Roman" w:hAnsi="Times New Roman"/>
        <w:b w:val="0"/>
        <w:bCs/>
        <w:i w:val="0"/>
        <w:iCs/>
        <w:sz w:val="22"/>
      </w:rPr>
      <w:fldChar w:fldCharType="begin"/>
    </w:r>
    <w:r>
      <w:rPr>
        <w:rStyle w:val="PageNumber"/>
        <w:rFonts w:ascii="Times New Roman" w:hAnsi="Times New Roman"/>
        <w:b w:val="0"/>
        <w:bCs/>
        <w:i w:val="0"/>
        <w:iCs/>
        <w:sz w:val="22"/>
      </w:rPr>
      <w:instrText xml:space="preserve">PAGE  </w:instrText>
    </w:r>
    <w:r>
      <w:rPr>
        <w:rStyle w:val="PageNumber"/>
        <w:rFonts w:ascii="Times New Roman" w:hAnsi="Times New Roman"/>
        <w:b w:val="0"/>
        <w:bCs/>
        <w:i w:val="0"/>
        <w:iCs/>
        <w:sz w:val="22"/>
      </w:rPr>
      <w:fldChar w:fldCharType="separate"/>
    </w:r>
    <w:r>
      <w:rPr>
        <w:rStyle w:val="PageNumber"/>
        <w:rFonts w:ascii="Times New Roman" w:hAnsi="Times New Roman"/>
        <w:b w:val="0"/>
        <w:bCs/>
        <w:i w:val="0"/>
        <w:iCs/>
        <w:noProof/>
        <w:sz w:val="22"/>
      </w:rPr>
      <w:t>16</w:t>
    </w:r>
    <w:r>
      <w:rPr>
        <w:rStyle w:val="PageNumber"/>
        <w:rFonts w:ascii="Times New Roman" w:hAnsi="Times New Roman"/>
        <w:b w:val="0"/>
        <w:bCs/>
        <w:i w:val="0"/>
        <w:iCs/>
        <w:sz w:val="22"/>
      </w:rPr>
      <w:fldChar w:fldCharType="end"/>
    </w:r>
  </w:p>
  <w:p w14:paraId="488728A0" w14:textId="77777777" w:rsidR="00000000" w:rsidRDefault="0000000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61D2" w14:textId="77777777" w:rsidR="00000000" w:rsidRDefault="00000000">
    <w:pPr>
      <w:pStyle w:val="Header"/>
    </w:pPr>
    <w:r>
      <w:t>Model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8F7104"/>
    <w:multiLevelType w:val="hybridMultilevel"/>
    <w:tmpl w:val="F730A6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1A4061"/>
    <w:multiLevelType w:val="singleLevel"/>
    <w:tmpl w:val="178A6EE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5A429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44E022B"/>
    <w:multiLevelType w:val="singleLevel"/>
    <w:tmpl w:val="797AA642"/>
    <w:lvl w:ilvl="0">
      <w:start w:val="1"/>
      <w:numFmt w:val="bullet"/>
      <w:pStyle w:val="FollowedHyperlink"/>
      <w:lvlText w:val=""/>
      <w:lvlJc w:val="left"/>
      <w:pPr>
        <w:tabs>
          <w:tab w:val="num" w:pos="360"/>
        </w:tabs>
        <w:ind w:left="360" w:hanging="360"/>
      </w:pPr>
      <w:rPr>
        <w:rFonts w:ascii="Symbol" w:hAnsi="Symbol" w:hint="default"/>
      </w:rPr>
    </w:lvl>
  </w:abstractNum>
  <w:abstractNum w:abstractNumId="5" w15:restartNumberingAfterBreak="0">
    <w:nsid w:val="6C610D59"/>
    <w:multiLevelType w:val="singleLevel"/>
    <w:tmpl w:val="EAF208D4"/>
    <w:lvl w:ilvl="0">
      <w:start w:val="1"/>
      <w:numFmt w:val="bullet"/>
      <w:lvlText w:val=""/>
      <w:lvlJc w:val="left"/>
      <w:pPr>
        <w:tabs>
          <w:tab w:val="num" w:pos="720"/>
        </w:tabs>
        <w:ind w:left="360" w:hanging="360"/>
      </w:pPr>
      <w:rPr>
        <w:rFonts w:ascii="Wingdings" w:hAnsi="Wingdings" w:hint="default"/>
        <w:sz w:val="52"/>
      </w:rPr>
    </w:lvl>
  </w:abstractNum>
  <w:abstractNum w:abstractNumId="6" w15:restartNumberingAfterBreak="0">
    <w:nsid w:val="78F46E0B"/>
    <w:multiLevelType w:val="singleLevel"/>
    <w:tmpl w:val="61021C52"/>
    <w:lvl w:ilvl="0">
      <w:start w:val="1"/>
      <w:numFmt w:val="bullet"/>
      <w:pStyle w:val="BulletText"/>
      <w:lvlText w:val=""/>
      <w:lvlJc w:val="left"/>
      <w:pPr>
        <w:tabs>
          <w:tab w:val="num" w:pos="360"/>
        </w:tabs>
        <w:ind w:left="360" w:hanging="360"/>
      </w:pPr>
      <w:rPr>
        <w:rFonts w:ascii="Symbol" w:hAnsi="Symbol" w:hint="default"/>
      </w:rPr>
    </w:lvl>
  </w:abstractNum>
  <w:abstractNum w:abstractNumId="7" w15:restartNumberingAfterBreak="0">
    <w:nsid w:val="7AF6052B"/>
    <w:multiLevelType w:val="singleLevel"/>
    <w:tmpl w:val="178A6EE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C34C1"/>
    <w:multiLevelType w:val="hybridMultilevel"/>
    <w:tmpl w:val="ACE2FA86"/>
    <w:lvl w:ilvl="0" w:tplc="4D96C5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2527114">
    <w:abstractNumId w:val="5"/>
  </w:num>
  <w:num w:numId="2" w16cid:durableId="999388427">
    <w:abstractNumId w:val="2"/>
  </w:num>
  <w:num w:numId="3" w16cid:durableId="1818060881">
    <w:abstractNumId w:val="7"/>
  </w:num>
  <w:num w:numId="4" w16cid:durableId="768160574">
    <w:abstractNumId w:val="0"/>
    <w:lvlOverride w:ilvl="0">
      <w:lvl w:ilvl="0">
        <w:start w:val="1"/>
        <w:numFmt w:val="bullet"/>
        <w:lvlText w:val=""/>
        <w:legacy w:legacy="1" w:legacySpace="0" w:legacyIndent="360"/>
        <w:lvlJc w:val="left"/>
        <w:pPr>
          <w:ind w:left="547" w:hanging="360"/>
        </w:pPr>
        <w:rPr>
          <w:rFonts w:ascii="Times" w:hAnsi="Times" w:hint="default"/>
        </w:rPr>
      </w:lvl>
    </w:lvlOverride>
  </w:num>
  <w:num w:numId="5" w16cid:durableId="2126919680">
    <w:abstractNumId w:val="4"/>
  </w:num>
  <w:num w:numId="6" w16cid:durableId="436025996">
    <w:abstractNumId w:val="3"/>
  </w:num>
  <w:num w:numId="7" w16cid:durableId="1265111524">
    <w:abstractNumId w:val="6"/>
  </w:num>
  <w:num w:numId="8" w16cid:durableId="2063166055">
    <w:abstractNumId w:val="1"/>
  </w:num>
  <w:num w:numId="9" w16cid:durableId="1065493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5F"/>
    <w:rsid w:val="00027C4C"/>
    <w:rsid w:val="006E125F"/>
    <w:rsid w:val="0071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8D821"/>
  <w15:chartTrackingRefBased/>
  <w15:docId w15:val="{2D7B010E-6921-402E-85D2-899EF2B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Arial" w:hAnsi="Arial"/>
      <w:sz w:val="22"/>
    </w:rPr>
  </w:style>
  <w:style w:type="paragraph" w:styleId="Heading1">
    <w:name w:val="heading 1"/>
    <w:basedOn w:val="Normal"/>
    <w:next w:val="BodyText"/>
    <w:qFormat/>
    <w:pPr>
      <w:keepNext/>
      <w:keepLines/>
      <w:widowControl w:val="0"/>
      <w:spacing w:before="120" w:after="60"/>
      <w:outlineLvl w:val="0"/>
    </w:pPr>
    <w:rPr>
      <w:b/>
      <w:sz w:val="24"/>
    </w:rPr>
  </w:style>
  <w:style w:type="paragraph" w:styleId="Heading2">
    <w:name w:val="heading 2"/>
    <w:basedOn w:val="Normal"/>
    <w:next w:val="Normal"/>
    <w:qFormat/>
    <w:pPr>
      <w:keepNext/>
      <w:widowControl w:val="0"/>
      <w:spacing w:after="0" w:line="250" w:lineRule="exact"/>
      <w:outlineLvl w:val="1"/>
    </w:pPr>
    <w:rPr>
      <w:rFonts w:ascii="Times New Roman" w:hAnsi="Times New Roman"/>
      <w:b/>
      <w:bCs/>
      <w:i/>
      <w:iCs/>
      <w:sz w:val="24"/>
    </w:rPr>
  </w:style>
  <w:style w:type="paragraph" w:styleId="Heading3">
    <w:name w:val="heading 3"/>
    <w:basedOn w:val="Normal"/>
    <w:next w:val="Normal"/>
    <w:qFormat/>
    <w:pPr>
      <w:keepNext/>
      <w:spacing w:after="0" w:line="250" w:lineRule="exact"/>
      <w:outlineLvl w:val="2"/>
    </w:pPr>
    <w:rPr>
      <w:rFonts w:ascii="Times New Roman" w:hAnsi="Times New Roman"/>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Pub">
    <w:name w:val="Date/Pub"/>
    <w:basedOn w:val="Normal"/>
    <w:next w:val="Normal"/>
    <w:pPr>
      <w:tabs>
        <w:tab w:val="right" w:pos="9360"/>
      </w:tabs>
      <w:spacing w:after="0"/>
    </w:pPr>
    <w:rPr>
      <w:sz w:val="16"/>
    </w:rPr>
  </w:style>
  <w:style w:type="paragraph" w:styleId="FootnoteText">
    <w:name w:val="footnote text"/>
    <w:basedOn w:val="Normal"/>
    <w:semiHidden/>
    <w:rPr>
      <w:rFonts w:ascii="Times New Roman" w:hAnsi="Times New Roman"/>
    </w:rPr>
  </w:style>
  <w:style w:type="paragraph" w:styleId="BodyText">
    <w:name w:val="Body Text"/>
    <w:basedOn w:val="Normal"/>
    <w:semiHidden/>
    <w:pPr>
      <w:spacing w:line="250" w:lineRule="exact"/>
    </w:pPr>
    <w:rPr>
      <w:rFonts w:ascii="Times New Roman" w:hAnsi="Times New Roman"/>
    </w:rPr>
  </w:style>
  <w:style w:type="paragraph" w:styleId="Footer">
    <w:name w:val="footer"/>
    <w:basedOn w:val="Normal"/>
    <w:semiHidden/>
    <w:pPr>
      <w:tabs>
        <w:tab w:val="center" w:pos="4320"/>
        <w:tab w:val="right" w:pos="8640"/>
      </w:tabs>
      <w:spacing w:before="60" w:after="0"/>
      <w:jc w:val="center"/>
    </w:pPr>
    <w:rPr>
      <w:i/>
      <w:sz w:val="16"/>
    </w:rPr>
  </w:style>
  <w:style w:type="paragraph" w:customStyle="1" w:styleId="TableText">
    <w:name w:val="Table Text"/>
    <w:basedOn w:val="Heading1"/>
    <w:pPr>
      <w:spacing w:before="60"/>
    </w:pPr>
    <w:rPr>
      <w:rFonts w:ascii="Times New Roman" w:hAnsi="Times New Roman"/>
      <w:b w:val="0"/>
      <w:sz w:val="22"/>
    </w:rPr>
  </w:style>
  <w:style w:type="paragraph" w:customStyle="1" w:styleId="TableHeading">
    <w:name w:val="Table Heading"/>
    <w:basedOn w:val="TableText"/>
    <w:next w:val="TableText"/>
    <w:rPr>
      <w:b/>
      <w:sz w:val="19"/>
    </w:rPr>
  </w:style>
  <w:style w:type="paragraph" w:customStyle="1" w:styleId="TableTitle">
    <w:name w:val="Table Title"/>
    <w:basedOn w:val="TableText"/>
    <w:next w:val="TableHeading"/>
    <w:rPr>
      <w:b/>
    </w:rPr>
  </w:style>
  <w:style w:type="paragraph" w:styleId="Title">
    <w:name w:val="Title"/>
    <w:basedOn w:val="Normal"/>
    <w:qFormat/>
    <w:pPr>
      <w:keepNext/>
      <w:keepLines/>
      <w:widowControl w:val="0"/>
      <w:spacing w:after="480"/>
      <w:jc w:val="center"/>
      <w:outlineLvl w:val="0"/>
    </w:pPr>
    <w:rPr>
      <w:b/>
      <w:kern w:val="28"/>
      <w:sz w:val="48"/>
    </w:rPr>
  </w:style>
  <w:style w:type="paragraph" w:customStyle="1" w:styleId="TopParagraph">
    <w:name w:val="Top Paragraph"/>
    <w:basedOn w:val="Normal"/>
    <w:pPr>
      <w:spacing w:line="250" w:lineRule="exact"/>
      <w:jc w:val="center"/>
    </w:pPr>
    <w:rPr>
      <w:rFonts w:ascii="Times New Roman" w:hAnsi="Times New Roman"/>
      <w:i/>
    </w:rPr>
  </w:style>
  <w:style w:type="paragraph" w:styleId="Header">
    <w:name w:val="header"/>
    <w:basedOn w:val="Normal"/>
    <w:semiHidden/>
    <w:pPr>
      <w:tabs>
        <w:tab w:val="center" w:pos="4320"/>
        <w:tab w:val="right" w:pos="8640"/>
      </w:tabs>
      <w:jc w:val="right"/>
    </w:pPr>
    <w:rPr>
      <w:b/>
      <w:i/>
      <w:sz w:val="32"/>
    </w:rPr>
  </w:style>
  <w:style w:type="paragraph" w:customStyle="1" w:styleId="BulletText">
    <w:name w:val="Bullet Text"/>
    <w:basedOn w:val="Normal"/>
    <w:pPr>
      <w:numPr>
        <w:numId w:val="7"/>
      </w:numPr>
      <w:tabs>
        <w:tab w:val="clear" w:pos="360"/>
        <w:tab w:val="left" w:pos="547"/>
      </w:tabs>
      <w:spacing w:line="250" w:lineRule="exact"/>
      <w:ind w:left="576"/>
    </w:pPr>
    <w:rPr>
      <w:rFonts w:ascii="Times New Roman" w:hAnsi="Times New Roman"/>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styleId="PageNumber">
    <w:name w:val="page number"/>
    <w:basedOn w:val="DefaultParagraphFont"/>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iwmb.ca.gov/Marketpla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itehouse.gov/PCSD" TargetMode="External"/><Relationship Id="rId5" Type="http://schemas.openxmlformats.org/officeDocument/2006/relationships/footnotes" Target="footnotes.xml"/><Relationship Id="rId15" Type="http://schemas.openxmlformats.org/officeDocument/2006/relationships/hyperlink" Target="http://www.ciwmb.ca.gov/" TargetMode="External"/><Relationship Id="rId10" Type="http://schemas.openxmlformats.org/officeDocument/2006/relationships/hyperlink" Target="http://www.grrn.org./" TargetMode="External"/><Relationship Id="rId4" Type="http://schemas.openxmlformats.org/officeDocument/2006/relationships/webSettings" Target="webSettings.xml"/><Relationship Id="rId9" Type="http://schemas.openxmlformats.org/officeDocument/2006/relationships/hyperlink" Target="http://www.ciwmb.ca.gov/Publications/" TargetMode="External"/><Relationship Id="rId14" Type="http://schemas.openxmlformats.org/officeDocument/2006/relationships/hyperlink" Target="http://www.indigodev.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ublicAffairs\PublicationsSection\Jobs--EditFormatWeb\Aleta\TNR%20Fact%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TNR Fact Sheet.dot</Template>
  <TotalTime>0</TotalTime>
  <Pages>16</Pages>
  <Words>8637</Words>
  <Characters>49232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Resource Recovery Parks: A Model for Local Government Recycling and Waste Reduction</vt:lpstr>
    </vt:vector>
  </TitlesOfParts>
  <Company>State of California</Company>
  <LinksUpToDate>false</LinksUpToDate>
  <CharactersWithSpaces>57754</CharactersWithSpaces>
  <SharedDoc>false</SharedDoc>
  <HLinks>
    <vt:vector size="36" baseType="variant">
      <vt:variant>
        <vt:i4>5242890</vt:i4>
      </vt:variant>
      <vt:variant>
        <vt:i4>15</vt:i4>
      </vt:variant>
      <vt:variant>
        <vt:i4>0</vt:i4>
      </vt:variant>
      <vt:variant>
        <vt:i4>5</vt:i4>
      </vt:variant>
      <vt:variant>
        <vt:lpwstr>http://www.ciwmb.ca.gov/</vt:lpwstr>
      </vt:variant>
      <vt:variant>
        <vt:lpwstr/>
      </vt:variant>
      <vt:variant>
        <vt:i4>7471154</vt:i4>
      </vt:variant>
      <vt:variant>
        <vt:i4>12</vt:i4>
      </vt:variant>
      <vt:variant>
        <vt:i4>0</vt:i4>
      </vt:variant>
      <vt:variant>
        <vt:i4>5</vt:i4>
      </vt:variant>
      <vt:variant>
        <vt:lpwstr>http://www.indigodev.com./</vt:lpwstr>
      </vt:variant>
      <vt:variant>
        <vt:lpwstr/>
      </vt:variant>
      <vt:variant>
        <vt:i4>917508</vt:i4>
      </vt:variant>
      <vt:variant>
        <vt:i4>9</vt:i4>
      </vt:variant>
      <vt:variant>
        <vt:i4>0</vt:i4>
      </vt:variant>
      <vt:variant>
        <vt:i4>5</vt:i4>
      </vt:variant>
      <vt:variant>
        <vt:lpwstr>http://www.ciwmb.ca.gov/Marketplace/</vt:lpwstr>
      </vt:variant>
      <vt:variant>
        <vt:lpwstr/>
      </vt:variant>
      <vt:variant>
        <vt:i4>2424870</vt:i4>
      </vt:variant>
      <vt:variant>
        <vt:i4>6</vt:i4>
      </vt:variant>
      <vt:variant>
        <vt:i4>0</vt:i4>
      </vt:variant>
      <vt:variant>
        <vt:i4>5</vt:i4>
      </vt:variant>
      <vt:variant>
        <vt:lpwstr>http://www.whitehouse.gov/PCSD</vt:lpwstr>
      </vt:variant>
      <vt:variant>
        <vt:lpwstr/>
      </vt:variant>
      <vt:variant>
        <vt:i4>4980804</vt:i4>
      </vt:variant>
      <vt:variant>
        <vt:i4>3</vt:i4>
      </vt:variant>
      <vt:variant>
        <vt:i4>0</vt:i4>
      </vt:variant>
      <vt:variant>
        <vt:i4>5</vt:i4>
      </vt:variant>
      <vt:variant>
        <vt:lpwstr>http://www.grrn.org./</vt:lpwstr>
      </vt:variant>
      <vt:variant>
        <vt:lpwstr/>
      </vt:variant>
      <vt:variant>
        <vt:i4>6422547</vt:i4>
      </vt:variant>
      <vt:variant>
        <vt:i4>0</vt:i4>
      </vt:variant>
      <vt:variant>
        <vt:i4>0</vt:i4>
      </vt:variant>
      <vt:variant>
        <vt:i4>5</vt:i4>
      </vt:variant>
      <vt:variant>
        <vt:lpwstr>http://www.ciwmb.ca.gov/_x000b_Publications/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Recovery Parks: A Model for Local Government Recycling and Waste Reduction</dc:title>
  <dc:subject>Local Assistance</dc:subject>
  <dc:creator>CIWMB</dc:creator>
  <cp:keywords>California Integrated Waste Management Board, Pub.#310-01-011</cp:keywords>
  <dc:description>Describes the organization and components of a resource recovery (RR) park and gives examples and case studies for communities interested in creating their own facilities. RR parks include  opportunities for reuse, recycling, compost processing, manufacturing, and retail businesses in a central facility. One of 24 studies showcasing successful recycling and waste reduction programs developed by local and regional government to achieve California's 50 percent waste diversion goals. The studies were developed with the support of the California Integrated Waste Management Board.</dc:description>
  <cp:lastModifiedBy>Jim McLaughlin</cp:lastModifiedBy>
  <cp:revision>2</cp:revision>
  <cp:lastPrinted>2001-10-01T19:07:00Z</cp:lastPrinted>
  <dcterms:created xsi:type="dcterms:W3CDTF">2025-12-03T23:49:00Z</dcterms:created>
  <dcterms:modified xsi:type="dcterms:W3CDTF">2025-12-03T23:49:00Z</dcterms:modified>
  <cp:category/>
</cp:coreProperties>
</file>